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22c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30.07.2020 (konsolidierte Textfassung, kein amtliches Inkrafttretensdatum)</w:t>
      </w:r>
    </w:p>
    <w:p>
      <w:r>
        <w:t xml:space="preserve">(1) In den Fällen des § 22b Abs. 3 besitzt die für die fachliche Eignung erforderlichen beruflichen Fertigkeiten, Kenntnisse und Fähigkeiten auch, wer die Voraussetzungen für die Anerkennung seiner Berufsqualifikation nach der Richtlinie 2005/36/EG erfüllt, sofern er eine angemessene Zeit in seinem Beruf praktisch tätig gewesen ist.</w:t>
      </w:r>
    </w:p>
    <w:p>
      <w:r>
        <w:t xml:space="preserve">(2) Die Anerkennung kann unter den in Artikel 14 der in Absatz 1 genannten Richtlinie aufgeführten Voraussetzungen davon abhängig gemacht werden, dass der Antragsteller oder die Antragstellerin zunächst einen höchstens dreijährigen Anpassungslehrgang ableistet oder eine Eignungsprüfung ablegt.</w:t>
      </w:r>
    </w:p>
    <w:p>
      <w:r>
        <w:t xml:space="preserve">(3) Die Entscheidung über die Anerkennung trifft die Handwerkskammer. Sie kann die Durchführung von Anpassungslehrgängen und Eignungsprüfungen regeln.</w:t>
      </w:r>
    </w:p>
    <w:p>
      <w:r>
        <w:rPr>
          <w:color w:val="555555"/>
          <w:sz w:val="17"/>
        </w:rPr>
        <w:t xml:space="preserve">Zitiervorschlag: § 22c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https://recht.nulegal.eu/gesetze/HwO/22c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