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HwO</w:t>
      </w:r>
    </w:p>
    <w:p>
      <w:r>
        <w:rPr>
          <w:color w:val="555555"/>
          <w:sz w:val="18"/>
        </w:rPr>
        <w:t xml:space="preserve">Handwerksordnung</w:t>
      </w:r>
    </w:p>
    <w:p>
      <w:r>
        <w:rPr>
          <w:color w:val="555555"/>
          <w:sz w:val="18"/>
        </w:rPr>
        <w:t xml:space="preserve">Stand: 01.08.2024 (konsolidierte Textfassung, kein amtliches Inkrafttretensdatum)</w:t>
      </w:r>
    </w:p>
    <w:p>
      <w:r>
        <w:t xml:space="preserve">(1) Fachlich geeignet ist, wer die beruflichen sowie die berufs- und arbeitspädagogischen Fertigkeiten, Kenntnisse und Fähigkeiten besitzt, die für die Vermittlung der Ausbildungsinhalte erforderlich sind.</w:t>
      </w:r>
    </w:p>
    <w:p>
      <w:r>
        <w:t xml:space="preserve">(2) In einem zulassungspflichtigen Handwerk besitzt die fachliche Eignung, wer</w:t>
      </w:r>
    </w:p>
    <w:p>
      <w:pPr>
        <w:ind w:left="420"/>
      </w:pPr>
      <w:r>
        <w:t xml:space="preserve">1. die Meisterprüfung in dem zulassungspflichtigen Handwerk, in dem ausgebildet werden soll, oder in einem mit diesem verwandten Handwerk bestanden hat oder</w:t>
      </w:r>
    </w:p>
    <w:p>
      <w:pPr>
        <w:ind w:left="420"/>
      </w:pPr>
      <w:r>
        <w:t xml:space="preserve">2. in dem zulassungspflichtigen Handwerk, in dem ausgebildet werden soll, oder in einem mit diesem verwandten Handwerk</w:t>
      </w:r>
    </w:p>
    <w:p>
      <w:pPr>
        <w:ind w:left="780"/>
      </w:pPr>
      <w:r>
        <w:t xml:space="preserve">a) die Voraussetzungen zur Eintragung in die Handwerksrolle nach § 7 erfüllt oder</w:t>
      </w:r>
    </w:p>
    <w:p>
      <w:pPr>
        <w:ind w:left="780"/>
      </w:pPr>
      <w:r>
        <w:t xml:space="preserve">b) eine Ausübungsberechtigung nach § 7a oder § 7b erhalten hat oder</w:t>
      </w:r>
    </w:p>
    <w:p>
      <w:pPr>
        <w:ind w:left="780"/>
      </w:pPr>
      <w:r>
        <w:t xml:space="preserve">c) eine Ausnahmebewilligung nach § 8 oder nach § 9 Abs. 1 Satz 1 Nr. 1 erhalten hat</w:t>
      </w:r>
    </w:p>
    <w:p>
      <w:r>
        <w:t xml:space="preserve">und den Teil IV der Meisterprüfung oder eine gleichwertige andere Prüfung, insbesondere eine Ausbildereignungsprüfung auf der Grundlage einer nach § 30 Abs. 5 des Berufsbildungsgesetzes erlassenen Rechtsverordnung, bestanden hat.</w:t>
      </w:r>
    </w:p>
    <w:p>
      <w:r>
        <w:t xml:space="preserve">(3) In einem zulassungsfreien Handwerk oder einem handwerksähnlichen Gewerbe besitzt die für die fachliche Eignung erforderlichen beruflichen Fertigkeiten, Kenntnisse und Fähigkeiten, wer</w:t>
      </w:r>
    </w:p>
    <w:p>
      <w:pPr>
        <w:ind w:left="420"/>
      </w:pPr>
      <w:r>
        <w:t xml:space="preserve">1. die Meisterprüfung in dem zulassungsfreien Handwerk oder in dem handwerksähnlichen Gewerbe, in dem ausgebildet werden soll, bestanden hat,</w:t>
      </w:r>
    </w:p>
    <w:p>
      <w:pPr>
        <w:ind w:left="420"/>
      </w:pPr>
      <w:r>
        <w:t xml:space="preserve">2. die Gesellen- oder Abschlussprüfung in einer dem Ausbildungsberuf entsprechenden Fachrichtung bestanden hat,</w:t>
      </w:r>
    </w:p>
    <w:p>
      <w:pPr>
        <w:ind w:left="420"/>
      </w:pPr>
      <w:r>
        <w:t xml:space="preserve">3. das Feststellungsverfahren nach § 1 Absatz 6 des Berufsbildungsgesetzes mit dem Ergebnis der vollständigen Vergleichbarkeit der individuellen beruflichen Handlungsfähigkeit mit der für die Ausübung des Ausbildungsberufs der entsprechenden Fachrichtung erforderlichen beruflichen Handlungsfähigkeit abgeschlossen hat,</w:t>
      </w:r>
    </w:p>
    <w:p>
      <w:pPr>
        <w:ind w:left="420"/>
      </w:pPr>
      <w:r>
        <w:t xml:space="preserve">4. eine anerkannte Prüfung an einer Ausbildungsstätte oder vor einer Prüfungsbehörde oder eine Abschlussprüfung an einer staatlichen oder staatlich anerkannten Schule in einer dem Ausbildungsberuf entsprechenden Fachrichtung bestanden hat,</w:t>
      </w:r>
    </w:p>
    <w:p>
      <w:pPr>
        <w:ind w:left="420"/>
      </w:pPr>
      <w:r>
        <w:t xml:space="preserve">5. eine Abschlussprüfung an einer deutschen Hochschule in einer dem Ausbildungsberuf entsprechenden Fachrichtung bestanden hat oder</w:t>
      </w:r>
    </w:p>
    <w:p>
      <w:pPr>
        <w:ind w:left="420"/>
      </w:pPr>
      <w:r>
        <w:t xml:space="preserve">6. eine Gleichwertigkeitsfeststellung nach § 51g oder einen Bildungsabschluss besitzt, dessen Gleichwertigkeit nach anderen rechtlichen Regelungen festgestellt worden ist</w:t>
      </w:r>
    </w:p>
    <w:p>
      <w:r>
        <w:t xml:space="preserve">und eine angemessene Zeit in seinem Beruf praktisch tätig gewesen ist. Der Abschlussprüfung an einer deutschen Hochschule gemäß Satz 1 Nummer 5 gleichgestellt sind Diplome nach § 7 Abs. 2 Satz 4. Für den Nachweis der berufs- und arbeitspädagogischen Fertigkeiten, Kenntnisse und Fähigkeiten finden die auf der Grundlage des § 30 Abs. 5 des Berufsbildungsgesetzes erlassenen Rechtsverordnungen Anwendung.</w:t>
      </w:r>
    </w:p>
    <w:p>
      <w:r>
        <w:t xml:space="preserve">(4) Das Bundesministerium für Wirtschaft und Klimaschutz kann nach Anhörung des Hauptausschusses des Bundesinstituts für Berufsbildung durch Rechtsverordnung, die nicht der Zustimmung des Bundesrates bedarf, bestimmen, dass der Erwerb berufs- und arbeitspädagogischer Fertigkeiten, Kenntnisse und Fähigkeiten gesondert nachzuweisen ist. Dabei können Inhalt, Umfang und Abschluss der Maßnahmen für den Nachweis geregelt werden. Das Bestehen des Teils IV der Meisterprüfung gilt als Nachweis.</w:t>
      </w:r>
    </w:p>
    <w:p>
      <w:r>
        <w:t xml:space="preserve">(5) Die nach Landesrecht zuständige Behörde kann Personen, die die Voraussetzungen der Absätze 2, 3 und 4 nicht erfüllen, die fachliche Eignung nach Anhören der Handwerkskammer widerruflich zuerkennen.</w:t>
      </w:r>
    </w:p>
    <w:p>
      <w:r>
        <w:rPr>
          <w:color w:val="555555"/>
          <w:sz w:val="17"/>
        </w:rPr>
        <w:t xml:space="preserve">Zitiervorschlag: § 22b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