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Persönlich nicht geeignet ist insbesondere, wer</w:t>
      </w:r>
    </w:p>
    <w:p>
      <w:pPr>
        <w:ind w:left="420"/>
      </w:pPr>
      <w:r>
        <w:t xml:space="preserve">1. Kinder und Jugendliche nicht beschäftigen darf oder</w:t>
      </w:r>
    </w:p>
    <w:p>
      <w:pPr>
        <w:ind w:left="420"/>
      </w:pPr>
      <w:r>
        <w:t xml:space="preserve">2. wiederholt oder schwer gegen dieses Gesetz oder die auf Grund dieses Gesetzes erlassenen Vorschriften und Bestimmungen verstoßen hat.</w:t>
      </w:r>
    </w:p>
    <w:p>
      <w:r>
        <w:rPr>
          <w:color w:val="555555"/>
          <w:sz w:val="17"/>
        </w:rPr>
        <w:t xml:space="preserve">Zitiervorschlag: § 22a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