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124c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17.11.2022 (konsolidierte Textfassung, kein amtliches Inkrafttretensdatum)</w:t>
      </w:r>
    </w:p>
    <w:p>
      <w:r>
        <w:t xml:space="preserve">(1) Der Vorstand einer Handwerksorganisation nach dem Vierten Teil kann auch ohne Ermächtigung in der Satzung durch Beschluss den Mitgliedern der Organe seiner Handwerksorganisation ermöglichen,</w:t>
      </w:r>
    </w:p>
    <w:p>
      <w:pPr>
        <w:ind w:left="420"/>
      </w:pPr>
      <w:r>
        <w:t xml:space="preserve">1. an einer Sitzung ohne Anwesenheit am Versammlungsort teilzunehmen und Mitgliederrechte im Wege der elektronischen Kommunikation auszuüben oder</w:t>
      </w:r>
    </w:p>
    <w:p>
      <w:pPr>
        <w:ind w:left="420"/>
      </w:pPr>
      <w:r>
        <w:t xml:space="preserve">2. ohne Teilnahme an einer Sitzung ihre Stimmen vor der Durchführung oder ohne Durchführung der Sitzung in Textform gegenüber dem Vorstand abzugeben.</w:t>
      </w:r>
    </w:p>
    <w:p>
      <w:r>
        <w:t xml:space="preserve">Zu einer Sitzung oder Beschlussfassung eines Organs darf abweichend von anderslautenden gesetzlichen oder satzungsrechtlichen Bestimmungen in Textform eingeladen werden. In der Einladung ist der Beschluss nach Satz 1 bekannt zu geben.</w:t>
      </w:r>
    </w:p>
    <w:p>
      <w:r>
        <w:t xml:space="preserve">(2) Der Präsident einer Handwerkskammer kann auch ohne Ermächtigung in der Satzung durch Beschluss den Mitgliedern des Vorstandes ermöglichen,</w:t>
      </w:r>
    </w:p>
    <w:p>
      <w:pPr>
        <w:ind w:left="420"/>
      </w:pPr>
      <w:r>
        <w:t xml:space="preserve">1. an einer Sitzung ohne Anwesenheit am Versammlungsort teilzunehmen und Mitgliederrechte im Wege der elektronischen Kommunikation auszuüben oder</w:t>
      </w:r>
    </w:p>
    <w:p>
      <w:pPr>
        <w:ind w:left="420"/>
      </w:pPr>
      <w:r>
        <w:t xml:space="preserve">2. ohne Teilnahme an einer Sitzung ihre Stimmen vor der Durchführung oder ohne Durchführung der Sitzung in Textform gegenüber dem Präsidenten abzugeben.</w:t>
      </w:r>
    </w:p>
    <w:p>
      <w:r>
        <w:t xml:space="preserve">In der Einladung zur Sitzung oder zur Beschlussfassung ist der Beschluss nach Satz 1 bekannt zu geben. Die Sätze 1 und 2 gelten für die übrigen Handwerksorganisationen nach dem Vierten Teil entsprechend.</w:t>
      </w:r>
    </w:p>
    <w:p>
      <w:r>
        <w:t xml:space="preserve">(3) In den Fällen des Absatzes 1 Satz 1 Nummer 2 oder des Absatzes 2 Satz 1 Nummer 2</w:t>
      </w:r>
    </w:p>
    <w:p>
      <w:pPr>
        <w:ind w:left="420"/>
      </w:pPr>
      <w:r>
        <w:t xml:space="preserve">1. ist ein Beschluss gültig, wenn</w:t>
      </w:r>
    </w:p>
    <w:p>
      <w:pPr>
        <w:ind w:left="780"/>
      </w:pPr>
      <w:r>
        <w:t xml:space="preserve">a) alle Mitglieder beteiligt wurden,</w:t>
      </w:r>
    </w:p>
    <w:p>
      <w:pPr>
        <w:ind w:left="780"/>
      </w:pPr>
      <w:r>
        <w:t xml:space="preserve">b) mindestens die Hälfte der Mitglieder ihre Stimmen bis zu dem gesetzten Termin in Textform oder ihre Stimme in der Sitzung abgegeben haben und</w:t>
      </w:r>
    </w:p>
    <w:p>
      <w:pPr>
        <w:ind w:left="780"/>
      </w:pPr>
      <w:r>
        <w:t xml:space="preserve">c) der Beschluss mit der nach Gesetz oder der jeweiligen Satzung erforderlichen Mehrheit gefasst wurde,</w:t>
      </w:r>
    </w:p>
    <w:p>
      <w:pPr>
        <w:ind w:left="420"/>
      </w:pPr>
      <w:r>
        <w:t xml:space="preserve">2. sind die Vorschriften über die Öffentlichkeit von Sitzungen nicht anzuwenden.</w:t>
      </w:r>
    </w:p>
    <w:p>
      <w:r>
        <w:t xml:space="preserve">(4) Die Absätze 2 und 3 gelten für Meisterprüfungsausschüsse nach § 47 entsprechend.</w:t>
      </w:r>
    </w:p>
    <w:p>
      <w:r>
        <w:rPr>
          <w:color w:val="555555"/>
          <w:sz w:val="17"/>
        </w:rPr>
        <w:t xml:space="preserve">Zitiervorschlag: § 124c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https://recht.nulegal.eu/gesetze/HwO/124c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