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124 HwO</w:t>
      </w:r>
    </w:p>
    <w:p>
      <w:r>
        <w:rPr>
          <w:color w:val="555555"/>
          <w:sz w:val="18"/>
        </w:rPr>
        <w:t xml:space="preserve">Handwerksordnung</w:t>
      </w:r>
    </w:p>
    <w:p>
      <w:r>
        <w:rPr>
          <w:color w:val="555555"/>
          <w:sz w:val="18"/>
        </w:rPr>
        <w:t xml:space="preserve">Stand: 10.06.2019 (konsolidierte Textfassung, kein amtliches Inkrafttretensdatum)</w:t>
      </w:r>
    </w:p>
    <w:p>
      <w:r>
        <w:t xml:space="preserve">(1) Die bei Inkrafttreten dieses Gesetzes bestehenden Handwerksinnungen oder Handwerkerinnungen, Kreishandwerkerschaften oder Kreisinnungsverbände, Innungsverbände und Handwerkskammern sind nach den Bestimmungen dieses Gesetzes bis zum 30. September 1954 umzubilden; bis zu ihrer Umbildung gelten sie als Handwerksinnungen, Kreishandwerkerschaften, Innungsverbände und Handwerkskammern im Sinne dieses Gesetzes. Wenn sie sich nicht bis zum 30. September 1954 umgebildet haben, sind sie aufgelöst. Endet die Wahlzeit der Mitglieder einer Handwerkskammer vor dem 30. September 1954, so wird sie bis zu der Umbildung der Handwerkskammer nach Satz 1, längstens jedoch bis zum 30. September 1954 verlängert.</w:t>
      </w:r>
    </w:p>
    <w:p>
      <w:r>
        <w:t xml:space="preserve">(2) Die nach diesem Gesetz umgebildeten Handwerksinnungen, Kreishandwerkerschaften, Innungsverbände und Handwerkskammern gelten als Rechtsnachfolger der entsprechenden bisher bestehenden Handwerksorganisationen.</w:t>
      </w:r>
    </w:p>
    <w:p>
      <w:r>
        <w:t xml:space="preserve">(3) Soweit für die bisher bestehenden Handwerksorganisationen eine Rechtsnachfolge nicht eintritt, findet eine Vermögensauseinandersetzung nach den für sie bisher geltenden gesetzlichen Bestimmungen statt. Bei Meinungsverschiedenheiten entscheidet die nach dem geltenden Recht zuständige Aufsichtsbehörde.</w:t>
      </w:r>
    </w:p>
    <w:p>
      <w:r>
        <w:rPr>
          <w:color w:val="555555"/>
          <w:sz w:val="17"/>
        </w:rPr>
        <w:t xml:space="preserve">Zitiervorschlag: § 124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https://recht.nulegal.eu/gesetze/HwO/124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