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118a HwO</w:t>
      </w:r>
    </w:p>
    <w:p>
      <w:r>
        <w:rPr>
          <w:color w:val="555555"/>
          <w:sz w:val="18"/>
        </w:rPr>
        <w:t xml:space="preserve">Handwerksordnung</w:t>
      </w:r>
    </w:p>
    <w:p>
      <w:r>
        <w:rPr>
          <w:color w:val="555555"/>
          <w:sz w:val="18"/>
        </w:rPr>
        <w:t xml:space="preserve">Stand: 10.06.2019 (konsolidierte Textfassung, kein amtliches Inkrafttretensdatum)</w:t>
      </w:r>
    </w:p>
    <w:p>
      <w:r>
        <w:t xml:space="preserve">Die zuständige Behörde unterrichtet die zuständige Handwerkskammer über die Einleitung von und die abschließende Entscheidung in Verfahren wegen Ordnungswidrigkeiten nach den §§ 117 und 118. Gleiches gilt für Verfahren wegen Ordnungswidrigkeiten nach dem Gesetz zur Bekämpfung der Schwarzarbeit in der Fassung der Bekanntmachung vom 29. Januar 1982, zuletzt geändert durch Anlage I Kapitel VIII Sachgebiet E Nr. 3 des Einigungsvertrages vom 31. August 1990 in Verbindung mit Artikel 1 des Gesetzes vom 23. September 1990 (BGBl. 1990 II S. 885, 1038), in seiner jeweils geltenden Fassung, soweit Gegenstand des Verfahrens eine handwerkliche Tätigkeit ist.</w:t>
      </w:r>
    </w:p>
    <w:p>
      <w:r>
        <w:rPr>
          <w:color w:val="555555"/>
          <w:sz w:val="17"/>
        </w:rPr>
        <w:t xml:space="preserve">Zitiervorschlag: § 118a HwO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https://recht.nulegal.eu/gesetze/HwO/118a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