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115 HwO</w:t>
      </w:r>
    </w:p>
    <w:p>
      <w:r>
        <w:rPr>
          <w:color w:val="555555"/>
          <w:sz w:val="18"/>
        </w:rPr>
        <w:t xml:space="preserve">Handwerksordnung</w:t>
      </w:r>
    </w:p>
    <w:p>
      <w:r>
        <w:rPr>
          <w:color w:val="555555"/>
          <w:sz w:val="18"/>
        </w:rPr>
        <w:t xml:space="preserve">Stand: 10.06.2019 (konsolidierte Textfassung, kein amtliches Inkrafttretensdatum)</w:t>
      </w:r>
    </w:p>
    <w:p>
      <w:r>
        <w:t xml:space="preserve">(1) Die oberste Landesbehörde führt die Staatsaufsicht über die Handwerkskammer. Die Staatsaufsicht beschränkt sich darauf, soweit nicht anderes bestimmt ist, daß Gesetz und Satzung beachtet, insbesondere die den Handwerkskammern übertragenen Aufgaben erfüllt werden.</w:t>
      </w:r>
    </w:p>
    <w:p>
      <w:r>
        <w:t xml:space="preserve">(2) Die Aufsichtsbehörde kann, falls andere Aufsichtsmittel nicht ausreichen, die Vollversammlung auflösen, wenn sich die Kammer trotz wiederholter Aufforderung nicht im Rahmen der für sie geltenden Rechtsvorschriften hält. Innerhalb von drei Monaten nach Eintritt der Unanfechtbarkeit der Anordnung über die Auflösung ist eine Neuwahl vorzunehmen. Der bisherige Vorstand führt seine Geschäfte bis zum Amtsantritt des neuen Vorstands weiter und bereitet die Neuwahl der Vollversammlung vor.</w:t>
      </w:r>
    </w:p>
    <w:p>
      <w:r>
        <w:rPr>
          <w:color w:val="555555"/>
          <w:sz w:val="17"/>
        </w:rPr>
        <w:t xml:space="preserve">Zitiervorschlag: § 115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https://recht.nulegal.eu/gesetze/HwO/115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