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Handwerkskammer kann bei Zuwiderhandlungen gegen die von ihr innerhalb ihrer Zuständigkeit erlassenen Vorschriften oder Anordnungen Ordnungsgeld bis zu fünfhundert Euro festsetzen.</w:t>
      </w:r>
    </w:p>
    <w:p>
      <w:r>
        <w:t xml:space="preserve">(2) Das Ordnungsgeld muß vorher schriftlich angedroht werden. Die Androhung und die Festsetzung des Ordnungsgelds sind dem Betroffenen zuzustellen.</w:t>
      </w:r>
    </w:p>
    <w:p>
      <w:r>
        <w:t xml:space="preserve">(3) Gegen die Androhung und die Festsetzung des Ordnungsgelds steht dem Betroffenen der Verwaltungsrechtsweg offen.</w:t>
      </w:r>
    </w:p>
    <w:p>
      <w:r>
        <w:t xml:space="preserve">(4) Das Ordnungsgeld fließt der Handwerkskammer zu. Es wird auf Antrag des Vorstands der Handwerkskammer nach Maßgabe des § 113 Abs. 2 Satz 1 beigetrieben.</w:t>
      </w:r>
    </w:p>
    <w:p>
      <w:r>
        <w:rPr>
          <w:color w:val="555555"/>
          <w:sz w:val="17"/>
        </w:rPr>
        <w:t xml:space="preserve">Zitiervorschlag: § 112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