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108 HwO</w:t>
      </w:r>
    </w:p>
    <w:p>
      <w:r>
        <w:rPr>
          <w:color w:val="555555"/>
          <w:sz w:val="18"/>
        </w:rPr>
        <w:t xml:space="preserve">Handwerksordnung</w:t>
      </w:r>
    </w:p>
    <w:p>
      <w:r>
        <w:rPr>
          <w:color w:val="555555"/>
          <w:sz w:val="18"/>
        </w:rPr>
        <w:t xml:space="preserve">Stand: 10.06.2019 (konsolidierte Textfassung, kein amtliches Inkrafttretensdatum)</w:t>
      </w:r>
    </w:p>
    <w:p>
      <w:r>
        <w:t xml:space="preserve">(1) Die Vollversammlung wählt aus ihrer Mitte den Vorstand. Ein Drittel der Mitglieder müssen Gesellen oder andere Arbeitnehmer mit abgeschlossener Berufsausbildung sein.</w:t>
      </w:r>
    </w:p>
    <w:p>
      <w:r>
        <w:t xml:space="preserve">(2) Der Vorstand besteht nach näherer Bestimmung der Satzung aus dem Vorsitzenden (Präsidenten), zwei Stellvertretern (Vizepräsidenten), von denen einer Geselle oder ein anderer Arbeitnehmer mit abgeschlossener Berufsausbildung sein muß, und einer weiteren Zahl von Mitgliedern.</w:t>
      </w:r>
    </w:p>
    <w:p>
      <w:r>
        <w:t xml:space="preserve">(3) Der Präsident wird von der Vollversammlung mit absoluter Stimmenmehrheit der anwesenden Mitglieder gewählt. Fällt die Mehrzahl der Stimmen nicht auf eine Person, so findet eine engere Wahl zwischen den beiden Personen statt, welche die meisten Stimmen erhalten haben.</w:t>
      </w:r>
    </w:p>
    <w:p>
      <w:r>
        <w:t xml:space="preserve">(4) Die Wahl der Vizepräsidenten darf nicht gegen die Mehrheit der Stimmen der Gruppe, der sie angehören, erfolgen. Erfolgt in zwei Wahlgängen keine Entscheidung, so entscheidet ab dem dritten Wahlgang die Stimmenmehrheit der jeweils betroffenen Gruppe. Gleiches gilt für die Wahl der weiteren Mitglieder des Vorstands.</w:t>
      </w:r>
    </w:p>
    <w:p>
      <w:r>
        <w:t xml:space="preserve">(5) Die Wahl des Präsidenten und seiner Stellvertreter ist der obersten Landesbehörde binnen einer Woche anzuzeigen.</w:t>
      </w:r>
    </w:p>
    <w:p>
      <w:r>
        <w:t xml:space="preserve">(6) Als Ausweis des Vorstands genügt eine Bescheinigung der obersten Landesbehörde, daß die darin bezeichneten Personen zur Zeit den Vorstand bilden.</w:t>
      </w:r>
    </w:p>
    <w:p>
      <w:r>
        <w:rPr>
          <w:color w:val="555555"/>
          <w:sz w:val="17"/>
        </w:rPr>
        <w:t xml:space="preserve">Zitiervorschlag: § 108 HwO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https://recht.nulegal.eu/gesetze/HwO/108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