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105 HwO</w:t>
      </w:r>
    </w:p>
    <w:p>
      <w:r>
        <w:rPr>
          <w:color w:val="555555"/>
          <w:sz w:val="18"/>
        </w:rPr>
        <w:t xml:space="preserve">Handwerksordnung</w:t>
      </w:r>
    </w:p>
    <w:p>
      <w:r>
        <w:rPr>
          <w:color w:val="555555"/>
          <w:sz w:val="18"/>
        </w:rPr>
        <w:t xml:space="preserve">Stand: 07.08.2021 (konsolidierte Textfassung, kein amtliches Inkrafttretensdatum)</w:t>
      </w:r>
    </w:p>
    <w:p>
      <w:r>
        <w:t xml:space="preserve">(1) Für die Handwerkskammer ist von der obersten Landesbehörde eine Satzung zu erlassen. Über eine Änderung der Satzung beschließt die Vollversammlung; der Beschluß bedarf der Genehmigung durch die oberste Landesbehörde.</w:t>
      </w:r>
    </w:p>
    <w:p>
      <w:r>
        <w:t xml:space="preserve">(2) Die Satzung muß Bestimmungen enthalten über</w:t>
      </w:r>
    </w:p>
    <w:p>
      <w:pPr>
        <w:ind w:left="420"/>
      </w:pPr>
      <w:r>
        <w:t xml:space="preserve">1. den Namen, den Sitz und den Bezirk der Handwerkskammer,</w:t>
      </w:r>
    </w:p>
    <w:p>
      <w:pPr>
        <w:ind w:left="420"/>
      </w:pPr>
      <w:r>
        <w:t xml:space="preserve">2. die Zahl der Mitglieder der Handwerkskammer und der Stellvertreter sowie die Reihenfolge ihres Eintritts im Falle der Behinderung oder des Ausscheidens der Mitglieder,</w:t>
      </w:r>
    </w:p>
    <w:p>
      <w:pPr>
        <w:ind w:left="420"/>
      </w:pPr>
      <w:r>
        <w:t xml:space="preserve">3. die Verteilung der Mitglieder und der Stellvertreter auf die im Bezirk der Handwerkskammer vertretenen Handwerke,</w:t>
      </w:r>
    </w:p>
    <w:p>
      <w:pPr>
        <w:ind w:left="420"/>
      </w:pPr>
      <w:r>
        <w:t xml:space="preserve">4. die Zuwahl zur Handwerkskammer,</w:t>
      </w:r>
    </w:p>
    <w:p>
      <w:pPr>
        <w:ind w:left="420"/>
      </w:pPr>
      <w:r>
        <w:t xml:space="preserve">5. die Wahl des Vorstands und seine Befugnisse,</w:t>
      </w:r>
    </w:p>
    <w:p>
      <w:pPr>
        <w:ind w:left="420"/>
      </w:pPr>
      <w:r>
        <w:t xml:space="preserve">6. die Einberufung der Handwerkskammer und ihrer Organe,</w:t>
      </w:r>
    </w:p>
    <w:p>
      <w:pPr>
        <w:ind w:left="420"/>
      </w:pPr>
      <w:r>
        <w:t xml:space="preserve">7. die Form der Beschlußfassung und die Beurkundung der Beschlüsse der Handwerkskammer und des Vorstands,</w:t>
      </w:r>
    </w:p>
    <w:p>
      <w:pPr>
        <w:ind w:left="420"/>
      </w:pPr>
      <w:r>
        <w:t xml:space="preserve">8. die Erstellung einer mittelfristigen Finanzplanung und deren Übermittlung an die Vollversammlung,</w:t>
      </w:r>
    </w:p>
    <w:p>
      <w:pPr>
        <w:ind w:left="420"/>
      </w:pPr>
      <w:r>
        <w:t xml:space="preserve">9. die Festlegung der Haushaltsführung nach dem Verfahren der Kameralistik oder der Doppik sowie die Aufstellung und Genehmigung des Haushaltsplans oder des Wirtschaftsplans,</w:t>
      </w:r>
    </w:p>
    <w:p>
      <w:pPr>
        <w:ind w:left="420"/>
      </w:pPr>
      <w:r>
        <w:t xml:space="preserve">10. die Aufstellung, Prüfung und Abnahme der Jahresrechnung oder des Jahresabschlusses mit Lagebericht einschließlich der Verwendung des Jahresergebnisses sowie über die Übertragung der Prüfung auf eine unabhängige Stelle außerhalb der Handwerkskammer,</w:t>
      </w:r>
    </w:p>
    <w:p>
      <w:pPr>
        <w:ind w:left="420"/>
      </w:pPr>
      <w:r>
        <w:t xml:space="preserve">11. die Voraussetzungen und die Form einer Änderung der Satzung,</w:t>
      </w:r>
    </w:p>
    <w:p>
      <w:pPr>
        <w:ind w:left="420"/>
      </w:pPr>
      <w:r>
        <w:t xml:space="preserve">12. die Organe einschließlich elektronischer Medien, in denen die Bekanntmachungen der Handwerkskammer zu veröffentlichen sind.</w:t>
      </w:r>
    </w:p>
    <w:p>
      <w:r>
        <w:t xml:space="preserve">(3) Die Satzung darf keine Bestimmung enthalten, die mit den in diesem Gesetz bezeichneten Aufgaben der Handwerkskammer nicht in Verbindung steht oder gesetzlichen Vorschriften zuwiderläuft.</w:t>
      </w:r>
    </w:p>
    <w:p>
      <w:r>
        <w:t xml:space="preserve">(4) Die Satzung nach Absatz 1 Satz 1 ist in dem amtlichen Organ der für den Sitz der Handwerkskammer zuständigen höheren Verwaltungsbehörde bekanntzumachen.</w:t>
      </w:r>
    </w:p>
    <w:p>
      <w:r>
        <w:rPr>
          <w:color w:val="555555"/>
          <w:sz w:val="17"/>
        </w:rPr>
        <w:t xml:space="preserve">Zitiervorschlag: § 105 HwO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https://recht.nulegal.eu/gesetze/HwO/105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