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Mitglieder der Vollversammlung haben aus dem Amt auszuscheiden, wenn sie durch Krankheit oder Gebrechen verhindert sind, das Amt ordnungsmäßig zu führen oder wenn Tatsachen eintreten, die ihre Wählbarkeit ausschließen.</w:t>
      </w:r>
    </w:p>
    <w:p>
      <w:r>
        <w:t xml:space="preserve">(2) Gesetzliche Vertreter juristischer Personen und vertretungsberechtigte Gesellschafter der Personengesellschaften haben ferner aus dem Amt auszuscheiden, wenn</w:t>
      </w:r>
    </w:p>
    <w:p>
      <w:pPr>
        <w:ind w:left="420"/>
      </w:pPr>
      <w:r>
        <w:t xml:space="preserve">1. sie die Vertretungsbefugnis verloren haben,</w:t>
      </w:r>
    </w:p>
    <w:p>
      <w:pPr>
        <w:ind w:left="420"/>
      </w:pPr>
      <w:r>
        <w:t xml:space="preserve">2. die juristische Person oder die Personengesellschaft in der Handwerksrolle oder in dem Verzeichnis nach § 19 gelöscht worden ist.</w:t>
      </w:r>
    </w:p>
    <w:p>
      <w:r>
        <w:t xml:space="preserve">(3) Weigert sich das Mitglied auszuscheiden, so ist es von der obersten Landesbehörde nach Anhörung der Handwerkskammer seines Amtes zu entheben.</w:t>
      </w:r>
    </w:p>
    <w:p>
      <w:r>
        <w:rPr>
          <w:color w:val="555555"/>
          <w:sz w:val="17"/>
        </w:rPr>
        <w:t xml:space="preserve">Zitiervorschlag: § 104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