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Gewählte kann die Annahme der Wahl nur ablehnen, wenn er</w:t>
      </w:r>
    </w:p>
    <w:p>
      <w:pPr>
        <w:ind w:left="420"/>
      </w:pPr>
      <w:r>
        <w:t xml:space="preserve">1. das sechzigste Lebensjahr vollendet hat oder</w:t>
      </w:r>
    </w:p>
    <w:p>
      <w:pPr>
        <w:ind w:left="420"/>
      </w:pPr>
      <w:r>
        <w:t xml:space="preserve">2. durch Krankheit oder Gebrechen verhindert ist, das Amt ordnungsmäßig zu führen.</w:t>
      </w:r>
    </w:p>
    <w:p>
      <w:r>
        <w:t xml:space="preserve">(2) Ablehnungsgründe sind nur zu berücksichtigen, wenn sie binnen zwei Wochen nach der Bekanntgabe des Wahlergebnisses bei der Handwerkskammer geltend gemacht worden sind.</w:t>
      </w:r>
    </w:p>
    <w:p>
      <w:r>
        <w:t xml:space="preserve">(3) Mitglieder der Handwerkskammer können nach Vollendung des sechzigsten Lebensjahrs ihr Amt niederlegen.</w:t>
      </w:r>
    </w:p>
    <w:p>
      <w:r>
        <w:rPr>
          <w:color w:val="555555"/>
          <w:sz w:val="17"/>
        </w:rPr>
        <w:t xml:space="preserve">Zitiervorschlag: § 102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