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Handwerkskammer prüft die Gültigkeit der Wahl ihrer Mitglieder von Amts wegen.</w:t>
      </w:r>
    </w:p>
    <w:p>
      <w:r>
        <w:t xml:space="preserve">(2) Das Ergebnis der Wahl ist öffentlich bekanntzumachen.</w:t>
      </w:r>
    </w:p>
    <w:p>
      <w:r>
        <w:rPr>
          <w:color w:val="555555"/>
          <w:sz w:val="17"/>
        </w:rPr>
        <w:t xml:space="preserve">Zitiervorschlag: § 100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https://recht.nulegal.eu/gesetze/HwO/100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