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HwFwBAProKaufmMFV — (zu § 17) Zeugnisinhalte</w:t>
      </w:r>
    </w:p>
    <w:p>
      <w:r>
        <w:rPr>
          <w:color w:val="555555"/>
          <w:sz w:val="18"/>
        </w:rPr>
        <w:t xml:space="preserve">Handwerksfachwirt-Bachelor Professional für Kaufmännisches Management-Fortbildungsverordnung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(Fundstelle: BGBl. I 2020, 2953)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5,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die Handlungsbereiche nach § 5,</w:t>
      </w:r>
    </w:p>
    <w:p>
      <w:pPr>
        <w:ind w:left="420"/>
      </w:pPr>
      <w:r>
        <w:t xml:space="preserve">2. die Prüfungsbewertungen nach § 15 Absatz 2 und 3,</w:t>
      </w:r>
    </w:p>
    <w:p>
      <w:pPr>
        <w:ind w:left="420"/>
      </w:pPr>
      <w:r>
        <w:t xml:space="preserve">3. die errechnete Gesamtpunktzahl für die gesamte Prüfung,</w:t>
      </w:r>
    </w:p>
    <w:p>
      <w:pPr>
        <w:ind w:left="420"/>
      </w:pPr>
      <w:r>
        <w:t xml:space="preserve">4. die Gesamtnote als Dezimalzahl,</w:t>
      </w:r>
    </w:p>
    <w:p>
      <w:pPr>
        <w:ind w:left="420"/>
      </w:pPr>
      <w:r>
        <w:t xml:space="preserve">5. die Gesamtnote in Worten,</w:t>
      </w:r>
    </w:p>
    <w:p>
      <w:pPr>
        <w:ind w:left="420"/>
      </w:pPr>
      <w:r>
        <w:t xml:space="preserve">6. Befreiungen nach § 14,</w:t>
      </w:r>
    </w:p>
    <w:p>
      <w:pPr>
        <w:ind w:left="420"/>
      </w:pPr>
      <w:r>
        <w:t xml:space="preserve">7. Vorliegen des Nachweises über den Erwerb der berufs- und arbeitspädagogischen Qualifikationen nach § 4.</w:t>
      </w:r>
    </w:p>
    <w:p>
      <w:r>
        <w:rPr>
          <w:color w:val="555555"/>
          <w:sz w:val="17"/>
        </w:rPr>
        <w:t xml:space="preserve">Zitiervorschlag: Anlage 2 HwFwBAProKaufmMFV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https://recht.nulegal.eu/gesetze/HwFwBAProKaufmMFV/anlage-2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