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HwFwBAProKaufmMFV — Teile des Fortbildungsabschlusses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Für den Fortbildungsabschluss zum Geprüften Kaufmännischen Fachwirt nach der Handwerksordnung-Bachelor Professional für Kaufmännisches Management nach der Handwerksordnung und zur Geprüften Kaufmännischen Fachwirtin nach der Handwerksordnung-Bachelor Professional für Kaufmännisches Management nach der Handwerksordnung ist Folgendes erforderlich:</w:t>
      </w:r>
    </w:p>
    <w:p>
      <w:pPr>
        <w:ind w:left="420"/>
      </w:pPr>
      <w:r>
        <w:t xml:space="preserve">1. der Nachweis des Erwerbs der berufs- und arbeitspädagogischen Qualifikationen nach Maßgabe des § 4 und</w:t>
      </w:r>
    </w:p>
    <w:p>
      <w:pPr>
        <w:ind w:left="420"/>
      </w:pPr>
      <w:r>
        <w:t xml:space="preserve">2. das erfolgreiche Ablegen der im Rahmen dieser Verordnung geregelten Prüfung der fortbildungsspezifischen kaufmännischen Qualifikationen nach § 5.</w:t>
      </w:r>
    </w:p>
    <w:p>
      <w:r>
        <w:t xml:space="preserve">(2) Der Prüfungsnachweis zu den Qualifikationen nach Absatz 1 Nummer 1 ist spätestens vor Beginn der letzten Prüfungsleistung nach Absatz 1 Nummer 2 vorzulegen. Die erfolgreich abgelegte Prüfung nach Absatz 1 Nummer 2 hat die zu prüfende Person innerhalb von zwei Jahren nach Ablegen der ersten Prüfungsleistung in der Prüfung nach Absatz 1 Nummer 2 nachzuweisen. Die Frist des Satzes 2 beginnt mit dem Tag, der auf den letzten Tag der Prüfung für die erste Prüfungsleistung folgt.</w:t>
      </w:r>
    </w:p>
    <w:p>
      <w:r>
        <w:rPr>
          <w:color w:val="555555"/>
          <w:sz w:val="17"/>
        </w:rPr>
        <w:t xml:space="preserve">Zitiervorschlag: § 3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