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HwFwBAProKaufmMFV — Bestehen der Prüfung, Gesamtnote</w:t>
      </w:r>
    </w:p>
    <w:p>
      <w:r>
        <w:rPr>
          <w:color w:val="555555"/>
          <w:sz w:val="18"/>
        </w:rPr>
        <w:t xml:space="preserve">Handwerksfachwirt-Bachelor Professional für Kaufmännisches Management-Fortbildungsverordnung</w:t>
      </w:r>
    </w:p>
    <w:p>
      <w:r>
        <w:rPr>
          <w:color w:val="555555"/>
          <w:sz w:val="18"/>
        </w:rPr>
        <w:t xml:space="preserve">Stand: 22.12.2020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jedem der drei Prüfungsbestandteile der schriftlichen Prüfung und</w:t>
      </w:r>
    </w:p>
    <w:p>
      <w:pPr>
        <w:ind w:left="420"/>
      </w:pPr>
      <w:r>
        <w:t xml:space="preserve">2. in der mündlichen Prüfung.</w:t>
      </w:r>
    </w:p>
    <w:p>
      <w:r>
        <w:t xml:space="preserve">(2) Ist die Prüfung bestanden, so wird die Bewertung der mündlichen Prüfung kaufmännisch auf eine ganze Zahl gerundet.</w:t>
      </w:r>
    </w:p>
    <w:p>
      <w:r>
        <w:t xml:space="preserve">(3) Für die Bildung einer Gesamtnote ist als Gesamtpunktzahl das arithmetische Mittel aus den Bewertungen für jeden der drei Prüfungsbestandteile der schriftlichen Prüfung und aus der Bewertung der mündlichen Prüfung zu berechnen. Die Gesamtpunktzahl ist kaufmännisch auf eine ganze Zahl zu runden. Der gerundeten Gesamtpunktzahl ist nach Anlage 1 eine Note als Dezimalzahl und die Note in Worten zuzuordnen. Die zugeordnete Note ist die Gesamtnote.</w:t>
      </w:r>
    </w:p>
    <w:p>
      <w:r>
        <w:rPr>
          <w:color w:val="555555"/>
          <w:sz w:val="17"/>
        </w:rPr>
        <w:t xml:space="preserve">Zitiervorschlag: § 16 HwFwBAProKaufmMFV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https://recht.nulegal.eu/gesetze/HwFwBAProKaufmMFV/16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