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HwFwBAProKaufmMFV — Gliederung der Prüfung der fortbildungsspezifischen kaufmännischen Qualifikationen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Prüfung der fortbildungsspezifischen kaufmännischen Qualifikationen gliedert sich in</w:t>
      </w:r>
    </w:p>
    <w:p>
      <w:pPr>
        <w:ind w:left="420"/>
      </w:pPr>
      <w:r>
        <w:t xml:space="preserve">1. eine schriftliche Prüfung und</w:t>
      </w:r>
    </w:p>
    <w:p>
      <w:pPr>
        <w:ind w:left="420"/>
      </w:pPr>
      <w:r>
        <w:t xml:space="preserve">2. eine mündliche Prüfung.</w:t>
      </w:r>
    </w:p>
    <w:p>
      <w:r>
        <w:rPr>
          <w:color w:val="555555"/>
          <w:sz w:val="17"/>
        </w:rPr>
        <w:t xml:space="preserve">Zitiervorschlag: § 11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