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HwFwBAProKaufmMFV — Ziel der Prüfung zum Erwerb des Fortbildungsabschlusses und dessen Bezeichnung</w:t>
      </w:r>
    </w:p>
    <w:p>
      <w:r>
        <w:rPr>
          <w:color w:val="555555"/>
          <w:sz w:val="18"/>
        </w:rPr>
        <w:t xml:space="preserve">Handwerksfachwirt-Bachelor Professional für Kaufmännisches Management-Fortbildungsverordnung</w:t>
      </w:r>
    </w:p>
    <w:p>
      <w:r>
        <w:rPr>
          <w:color w:val="555555"/>
          <w:sz w:val="18"/>
        </w:rPr>
        <w:t xml:space="preserve">Stand: 22.12.2020 (konsolidierte Textfassung, kein amtliches Inkrafttretensdatum)</w:t>
      </w:r>
    </w:p>
    <w:p>
      <w:r>
        <w:t xml:space="preserve">(1) Mit der erfolgreich abgelegten Prüfung zum anerkannten Fortbildungsabschluss Geprüfter Kaufmännischer Fachwirt nach der Handwerksordnung-Bachelor Professional für Kaufmännisches Management nach der Handwerksordnung und Geprüfte Kaufmännische Fachwirtin nach der Handwerksordnung-Bachelor Professional für Kaufmännisches Management nach der Handwerksordnung wird die auf einen beruflichen Aufstieg abzielende Erweiterung der beruflichen Handlungsfähigkeit auf der zweiten beruflichen Fortbildungsstufe der höherqualifizierenden Berufsbildung nachgewiesen.</w:t>
      </w:r>
    </w:p>
    <w:p>
      <w:r>
        <w:t xml:space="preserve">(2) Die Prüfung wird von der zuständigen Stelle durchgeführt.</w:t>
      </w:r>
    </w:p>
    <w:p>
      <w:r>
        <w:t xml:space="preserve">(3) Durch die Prüfung ist festzustellen, ob die zu prüfende Person in der Lage ist, in kaufmännisch-administrativen Bereichen von Handwerksbetrieben sowie anderen kleinen und mittleren Unternehmen entsprechend den jeweiligen Unternehmenszielen Fach- und Führungsfunktionen zu übernehmen, in denen zu verantwortende Leitungsprozesse eigenständig gesteuert werden, eigenständig ausgeführt werden und dafür Mitarbeiter und Mitarbeiterinnen geführt werden. Im Einzelnen umfasst dies insbesondere folgende Aufgaben:</w:t>
      </w:r>
    </w:p>
    <w:p>
      <w:pPr>
        <w:ind w:left="420"/>
      </w:pPr>
      <w:r>
        <w:t xml:space="preserve">1. gesamtwirtschaftliche und rechtliche Rahmenbedingungen und Entwicklungen analysieren sowie Vorschläge erarbeiten, um damit die Wettbewerbsfähigkeit zu optimieren,</w:t>
      </w:r>
    </w:p>
    <w:p>
      <w:pPr>
        <w:ind w:left="420"/>
      </w:pPr>
      <w:r>
        <w:t xml:space="preserve">2. die Entwicklung und Umsetzung strategischer Unternehmensziele unterstützen,</w:t>
      </w:r>
    </w:p>
    <w:p>
      <w:pPr>
        <w:ind w:left="420"/>
      </w:pPr>
      <w:r>
        <w:t xml:space="preserve">3. Marketingkonzepte entwickeln sowie Einkauf, Kundenmanagement und Vertrieb daran ausrichten,</w:t>
      </w:r>
    </w:p>
    <w:p>
      <w:pPr>
        <w:ind w:left="420"/>
      </w:pPr>
      <w:r>
        <w:t xml:space="preserve">4. betriebliches Rechnungswesen, Controlling sowie Finanzierung und Investitionen gestalten,</w:t>
      </w:r>
    </w:p>
    <w:p>
      <w:pPr>
        <w:ind w:left="420"/>
      </w:pPr>
      <w:r>
        <w:t xml:space="preserve">5. Beschaffungs-, Produktions- und Dienstleistungsprozesse betriebswirtschaftlich analysieren und optimieren,</w:t>
      </w:r>
    </w:p>
    <w:p>
      <w:pPr>
        <w:ind w:left="420"/>
      </w:pPr>
      <w:r>
        <w:t xml:space="preserve">6. Personalwesen gestalten,</w:t>
      </w:r>
    </w:p>
    <w:p>
      <w:pPr>
        <w:ind w:left="420"/>
      </w:pPr>
      <w:r>
        <w:t xml:space="preserve">7. Mitarbeiter und Mitarbeiterinnen führen, motivieren und fördern und</w:t>
      </w:r>
    </w:p>
    <w:p>
      <w:pPr>
        <w:ind w:left="420"/>
      </w:pPr>
      <w:r>
        <w:t xml:space="preserve">8. Ausbildung vorbereiten, organisieren, durchführen und abschließen.</w:t>
      </w:r>
    </w:p>
    <w:p>
      <w:r>
        <w:t xml:space="preserve">(4) Für den Erwerb der in Absatz 3 bezeichneten Fertigkeiten, Kenntnisse und Fähigkeiten bedarf es in der Regel eines Lernumfangs von insgesamt mindestens 1 200 Stunden. Der Lerninhalt bestimmt sich nach den Anforderungen der in § 5 in Verbindung mit den §§ 6 bis 10 genannten Handlungsbereiche.</w:t>
      </w:r>
    </w:p>
    <w:p>
      <w:r>
        <w:t xml:space="preserve">(5) Der Nachweis nach § 3 Absatz 1 Nummer 1 und die erfolgreich abgelegte Prüfung nach § 3 Absatz 1 Nummer 2 führen zusammen zum anerkannten Fortbildungsabschluss „Bachelor Professional für Kaufmännisches Management nach der Handwerksordnung“. Der Abschlussbezeichnung wird die weitere Abschlussbezeichnung „Geprüfter Kaufmännischer Fachwirt nach der Handwerksordnung“ oder „Geprüfte Kaufmännische Fachwirtin nach der Handwerksordnung“ vorangestellt.</w:t>
      </w:r>
    </w:p>
    <w:p>
      <w:r>
        <w:rPr>
          <w:color w:val="555555"/>
          <w:sz w:val="17"/>
        </w:rPr>
        <w:t xml:space="preserve">Zitiervorschlag: § 1 HwFwBAProKaufmMFV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https://recht.nulegal.eu/gesetze/HwFwBAProKaufmMFV/1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