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HvlG (Brandenburg)</w:t>
      </w:r>
    </w:p>
    <w:p>
      <w:r>
        <w:rPr>
          <w:color w:val="555555"/>
          <w:sz w:val="18"/>
        </w:rPr>
        <w:t xml:space="preserve">Havelland-Gesetz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Kreisname nach § 1 und der Kreissitz nach § 2 werden mit Ablauf des Tages der nächsten landesweiten Kreistagswahl rechtswirksam.</w:t>
      </w:r>
    </w:p>
    <w:p>
      <w:r>
        <w:rPr>
          <w:color w:val="555555"/>
          <w:sz w:val="17"/>
        </w:rPr>
        <w:t xml:space="preserve">Zitiervorschlag: § 4 HvlG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https://recht.nulegal.eu/gesetze/HvlG/4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