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HvlG (Brandenburg)</w:t>
      </w:r>
    </w:p>
    <w:p>
      <w:r>
        <w:rPr>
          <w:color w:val="555555"/>
          <w:sz w:val="18"/>
        </w:rPr>
        <w:t xml:space="preserve">Havelland-Gesetz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6 des Kreisneugliederungsgesetzes aus</w:t>
      </w:r>
    </w:p>
    <w:p>
      <w:r>
        <w:t xml:space="preserve">den Kreisen Nauen und Rathenow</w:t>
      </w:r>
    </w:p>
    <w:p>
      <w:r>
        <w:t xml:space="preserve">gebildete Landkreis führt den Namen "Landkreis Havelland" .</w:t>
      </w:r>
    </w:p>
    <w:p>
      <w:r>
        <w:rPr>
          <w:color w:val="555555"/>
          <w:sz w:val="17"/>
        </w:rPr>
        <w:t xml:space="preserve">Zitiervorschlag: § 1 HvlG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https://recht.nulegal.eu/gesetze/HvlG/1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