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HundehV (Brandenburg) — Mitnahmeverbot</w:t>
      </w:r>
    </w:p>
    <w:p>
      <w:r>
        <w:rPr>
          <w:color w:val="555555"/>
          <w:sz w:val="18"/>
        </w:rPr>
        <w:t xml:space="preserve">Hundehalteverordnung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Hunde dürfen nicht</w:t>
      </w:r>
    </w:p>
    <w:p>
      <w:r>
        <w:t xml:space="preserve">auf Kinderspielplätze,</w:t>
      </w:r>
    </w:p>
    <w:p>
      <w:r>
        <w:t xml:space="preserve">auf Liegewiesen, die als solche gekennzeichnet sind, und</w:t>
      </w:r>
    </w:p>
    <w:p>
      <w:r>
        <w:t xml:space="preserve">in Badeanstalten sowie an als solche gekennzeichneten öffentlichen Badestellen</w:t>
      </w:r>
    </w:p>
    <w:p>
      <w:r>
        <w:t xml:space="preserve">mitgenommen werden. § 3 Absatz 2 und 4 gilt sinngemäß für die Nummern 2 und 3.</w:t>
      </w:r>
    </w:p>
    <w:p>
      <w:r>
        <w:rPr>
          <w:color w:val="555555"/>
          <w:sz w:val="17"/>
        </w:rPr>
        <w:t xml:space="preserve">Zitiervorschlag: § 4 HundehV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https://recht.nulegal.eu/gesetze/HundehV/4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