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HundehV (Brandenburg) — Leinenpflicht und Maulkorbzwang</w:t>
      </w:r>
    </w:p>
    <w:p>
      <w:r>
        <w:rPr>
          <w:color w:val="555555"/>
          <w:sz w:val="18"/>
        </w:rPr>
        <w:t xml:space="preserve">Hundehalteverordnung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Hunde sind</w:t>
      </w:r>
    </w:p>
    <w:p>
      <w:r>
        <w:t xml:space="preserve">bei öffentlichen Versammlungen, Umzügen, Aufzügen, Volksfesten und sonstigen Veranstaltungen mit Menschenansammlungen,</w:t>
      </w:r>
    </w:p>
    <w:p>
      <w:r>
        <w:t xml:space="preserve">auf Sport- und Campingplätzen,</w:t>
      </w:r>
    </w:p>
    <w:p>
      <w:r>
        <w:t xml:space="preserve">in umfriedeten oder anderweitig begrenzten der Allgemeinheit zugänglichen Park-, Garten- und Grünanlagen,</w:t>
      </w:r>
    </w:p>
    <w:p>
      <w:r>
        <w:t xml:space="preserve">in Einkaufszentren, Fußgängerzonen, Verwaltungsgebäuden und öffentlichen Verkehrsmitteln und</w:t>
      </w:r>
    </w:p>
    <w:p>
      <w:r>
        <w:t xml:space="preserve">bei Mehrfamilienhäusern auf Zuwegen und zum Haus gehörenden Grundstücksflächen, in Treppenhäusern oder sonstigen von der Hausgemeinschaft gemeinsam genutzten Räumen</w:t>
      </w:r>
    </w:p>
    <w:p>
      <w:r>
        <w:t xml:space="preserve">so an der Leine zu führen, dass Menschen, Tiere oder Sachen nicht gefährdet werden. Die Leine muss reißfest sein und ständig ein sicheres Einwirken auf den Hund ermöglichen.</w:t>
      </w:r>
    </w:p>
    <w:p>
      <w:r>
        <w:t xml:space="preserve">(2) Die Leinenpflicht nach Absatz 1 Nummer 2 und 3 gilt nicht in den als Hundeauslaufgebiet gekennzeichneten Gebieten sowie nicht im Falle der Nummer 5, wenn sämtliche Inhaberinnen oder Inhaber des Hausrechts zustimmen.</w:t>
      </w:r>
    </w:p>
    <w:p>
      <w:r>
        <w:t xml:space="preserve">(3) In Verwaltungsgebäuden und öffentlichen Verkehrsmitteln hat jeder Hund einen das Beißen verhindernden Maulkorb zu tragen.</w:t>
      </w:r>
    </w:p>
    <w:p>
      <w:r>
        <w:t xml:space="preserve">(4) Kommunale Rechtsvorschriften hinsichtlich einer darüberhinausgehenden Leinenpflicht oder eines darüberhinausgehenden Maulkorbzwangs bleiben unberührt.</w:t>
      </w:r>
    </w:p>
    <w:p>
      <w:r>
        <w:rPr>
          <w:color w:val="555555"/>
          <w:sz w:val="17"/>
        </w:rPr>
        <w:t xml:space="preserve">Zitiervorschlag: § 3 HundehV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https://recht.nulegal.eu/gesetze/HundehV/3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