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HundehV (Brandenburg) — Inkrafttreten, Außerkrafttreten</w:t>
      </w:r>
    </w:p>
    <w:p>
      <w:r>
        <w:rPr>
          <w:color w:val="555555"/>
          <w:sz w:val="18"/>
        </w:rPr>
        <w:t xml:space="preserve">Hundehalteverordnung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vorbehaltlich des Satzes 3 am 1. Juli 2024 in Kraft. Gleichzeitig tritt die Hundehalterverordnung vom 16. Juni 2004 (GVBl. II S. 458) außer Kraft. § 16 Absatz 1 Nummer 5 und 6 tritt am 1. Februar 2025 in Kraft.</w:t>
      </w:r>
    </w:p>
    <w:p>
      <w:r>
        <w:t xml:space="preserve">(2) Diese Verordnung tritt am 1. Juli 2034 außer Kraft.</w:t>
      </w:r>
    </w:p>
    <w:p>
      <w:r>
        <w:t xml:space="preserve">Potsdam, den 24. Juni 2024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§ 19 HundehV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https://recht.nulegal.eu/gesetze/HundehV/19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