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HundehV (Brandenburg) — Berichtspflicht</w:t>
      </w:r>
    </w:p>
    <w:p>
      <w:r>
        <w:rPr>
          <w:color w:val="555555"/>
          <w:sz w:val="18"/>
        </w:rPr>
        <w:t xml:space="preserve">Hundehalteverordnung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örtlichen Ordnungsbehörden berichten dem für Inneres zuständigen Mitglied der Landesregierung jeweils zum 31. März des Folgejahres, erstmals zum 31. März 2026, zu den Vorfällen nach § 5 des jeweiligen Kalenderjahres.</w:t>
      </w:r>
    </w:p>
    <w:p>
      <w:r>
        <w:rPr>
          <w:color w:val="555555"/>
          <w:sz w:val="17"/>
        </w:rPr>
        <w:t xml:space="preserve">Zitiervorschlag: § 18 HundehV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https://recht.nulegal.eu/gesetze/HundehV/18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