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HundehV (Brandenburg) — Übergangsregelung</w:t>
      </w:r>
    </w:p>
    <w:p>
      <w:r>
        <w:rPr>
          <w:color w:val="555555"/>
          <w:sz w:val="18"/>
        </w:rPr>
        <w:t xml:space="preserve">Hundehalteverordnung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Hunde, die aufgrund von § 8 Absatz 1 Nummer 1 der Hundehalterverordnung vom 16. Juni 2004 ( GVBl. II S. 458), die durch Artikel 87 des Gesetzes vom 5. März 2024 (GVBl. I Nr. 9 S. 34) geändert worden ist, in Verbindung mit § 25a Absatz 3 Nummer 1 und Absatz 4 Nummer 5 des Ordnungsbehördengesetzes in der Fassung der Bekanntmachung vom 21. August 1996 (GVBl. I S. 266), das zuletzt durch Artikel 41 des Gesetzes vom 5. März 2024 (GVBl. I Nr. 9 S. 19) geändert worden ist, in der jeweils geltenden Fassung, ausschließlich aufgrund der Rassezugehörigkeit des Hundes als gefährlich galten, gelten mit Inkrafttreten dieser Verordnung als nicht mehr gefährlich.</w:t>
      </w:r>
    </w:p>
    <w:p>
      <w:r>
        <w:t xml:space="preserve">(2) Erlaubnisse, die die örtliche Ordnungsbehörde nach § 10 Absatz 1 der Hundehalterverordnung bis zum Tag der Verkündung dieser Verordnung erteilt hat, gelten als Erlaubnis nach § 6 Absatz 1 dieser Verordnung fort. Dies gilt entsprechend für die nach § 2 Absatz 3 Satz 3 der Hundehalterverordnung ausgegebenen roten Plaketten.</w:t>
      </w:r>
    </w:p>
    <w:p>
      <w:r>
        <w:t xml:space="preserve">(3) Die Frist des § 10 Absatz 1 beginnt für die Fälle des Absatzes 2 mit dem Tag der Erteilung der Erlaubnis.</w:t>
      </w:r>
    </w:p>
    <w:p>
      <w:r>
        <w:rPr>
          <w:color w:val="555555"/>
          <w:sz w:val="17"/>
        </w:rPr>
        <w:t xml:space="preserve">Zitiervorschlag: § 17 HundehV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https://recht.nulegal.eu/gesetze/HundehV/17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