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HundehV (Brandenburg) — Ausnahmen von der Erlaubnispflicht</w:t>
      </w:r>
    </w:p>
    <w:p>
      <w:r>
        <w:rPr>
          <w:color w:val="555555"/>
          <w:sz w:val="18"/>
        </w:rPr>
        <w:t xml:space="preserve">Hundehalteverordnung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Einer Erlaubnis nach § 6 Absatz 1 zum Halten von Hunden in einem Tierheim oder einer vergleichbaren Einrichtung für die dort gehaltenen Hunde bedürfen nicht die Inhaberinnen und Inhaber einer Erlaubnis nach § 11 Absatz 1 Satz 1 Nummer 3 des Tierschutzgesetzes. Im Übrigen gelten die Vorschriften dieser Verordnung.</w:t>
      </w:r>
    </w:p>
    <w:p>
      <w:r>
        <w:rPr>
          <w:color w:val="555555"/>
          <w:sz w:val="17"/>
        </w:rPr>
        <w:t xml:space="preserve">Zitiervorschlag: § 12 HundehV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https://recht.nulegal.eu/gesetze/HundehV/12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