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HundehV (Brandenburg) — Untersagungsverfügung; Überlassung und Tötung von Hunden</w:t>
      </w:r>
    </w:p>
    <w:p>
      <w:r>
        <w:rPr>
          <w:color w:val="555555"/>
          <w:sz w:val="18"/>
        </w:rPr>
        <w:t xml:space="preserve">Hundehalteverordnung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Die örtliche Ordnungsbehörde hat das Halten eines gefährlichen Hundes schriftlich oder elektronisch zu untersagen, wenn</w:t>
      </w:r>
    </w:p>
    <w:p>
      <w:r>
        <w:t xml:space="preserve">die Voraussetzungen des § 6 Absatz 3 nicht vorliegen oder</w:t>
      </w:r>
    </w:p>
    <w:p>
      <w:r>
        <w:t xml:space="preserve">eine gegenwärtige Gefahr für das Leben oder die körperliche Unversehrtheit von Menschen oder Tieren nicht anders beseitigt werden kann.</w:t>
      </w:r>
    </w:p>
    <w:p>
      <w:r>
        <w:t xml:space="preserve">Sie kann das Halten untersagen, wenn die Erlaubnis nach § 6 Absatz 2 Satz 1 nicht unverzüglich beantragt worden ist.</w:t>
      </w:r>
    </w:p>
    <w:p>
      <w:r>
        <w:t xml:space="preserve">(2) Zugleich soll die örtliche Ordnungsbehörde anordnen, dass der Hund der von der Untersagungsverfügung betroffenen Halterin oder des betroffenen Halters binnen angemessener, von ihr zu bestimmender Frist einem oder einer Berechtigten überlassen wird. Im Falle des Absatzes 1 Satz 1 Nummer 2 kann mit Zustimmung des zuständigen Veterinäramts die tierschutzgerechte Tötung des Hundes angeordnet werden.</w:t>
      </w:r>
    </w:p>
    <w:p>
      <w:r>
        <w:rPr>
          <w:color w:val="555555"/>
          <w:sz w:val="17"/>
        </w:rPr>
        <w:t xml:space="preserve">Zitiervorschlag: § 11 HundehV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https://recht.nulegal.eu/gesetze/HundehV/11</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