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HundVerbrEinfVO</w:t>
      </w:r>
    </w:p>
    <w:p>
      <w:r>
        <w:rPr>
          <w:color w:val="555555"/>
          <w:sz w:val="18"/>
        </w:rPr>
        <w:t xml:space="preserve">Hundeverbringungs- und -einfuhrverordnung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2 Abs. 2 Nr. 2 und 3 des Hundeverbringungs- und -einfuhrbeschränkungsgesetzes vom 12. April 2001 (BGBl. I S. 530) verordnet die Bundesregierung:</w:t>
      </w:r>
    </w:p>
    <w:p>
      <w:r>
        <w:rPr>
          <w:color w:val="555555"/>
          <w:sz w:val="17"/>
        </w:rPr>
        <w:t xml:space="preserve">Zitiervorschlag: Eingangsformel HundVerbrEinfVO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https://recht.nulegal.eu/gesetze/HundVerbrEinfVO/eingangsformel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