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 HundVerbrEinfVO — Befugnisse der zuständigen Behörde</w:t>
      </w:r>
    </w:p>
    <w:p>
      <w:r>
        <w:rPr>
          <w:color w:val="555555"/>
          <w:sz w:val="18"/>
        </w:rPr>
        <w:t xml:space="preserve">Hundeverbringungs- und -einfuhrverordnung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Stellt die zuständige Behörde einen Verstoß gegen die Bestimmungen des Gesetzes oder dieser Verordnung über das Verbringen in das Inland oder die Einfuhr fest, so kann sie insbesondere</w:t>
      </w:r>
    </w:p>
    <w:p>
      <w:pPr>
        <w:ind w:left="420"/>
      </w:pPr>
      <w:r>
        <w:t xml:space="preserve">1. anordnen, dass der Hund untergebracht und versorgt wird, bis die Anforderungen des Gesetzes und dieser Verordnung für das Verbringen in das Inland oder die Einfuhr erfüllt sind,</w:t>
      </w:r>
    </w:p>
    <w:p>
      <w:pPr>
        <w:ind w:left="420"/>
      </w:pPr>
      <w:r>
        <w:t xml:space="preserve">2. den Hund beschlagnahmen und unterbringen oder</w:t>
      </w:r>
    </w:p>
    <w:p>
      <w:pPr>
        <w:ind w:left="420"/>
      </w:pPr>
      <w:r>
        <w:t xml:space="preserve">3. das unverzügliche Zurückbringen an den Ort der Herkunft des Hundes anordnen.</w:t>
      </w:r>
    </w:p>
    <w:p>
      <w:r>
        <w:t xml:space="preserve">Die Befugnisse der zuständigen Behörde aufgrund anderer Rechtsvorschriften bleiben unberührt.</w:t>
      </w:r>
    </w:p>
    <w:p>
      <w:r>
        <w:rPr>
          <w:color w:val="555555"/>
          <w:sz w:val="17"/>
        </w:rPr>
        <w:t xml:space="preserve">Zitiervorschlag: § 4 HundVerbrEinfVO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https://recht.nulegal.eu/gesetze/HundVerbrEinfVO/4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 HundVerbrEinfVO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