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HundVerbrEinfG — Einziehung</w:t>
      </w:r>
    </w:p>
    <w:p>
      <w:r>
        <w:rPr>
          <w:color w:val="555555"/>
          <w:sz w:val="18"/>
        </w:rPr>
        <w:t xml:space="preserve">Hundeverbringungs- und -einfuhrbeschränkungsgesetz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Straftat nach § 5 oder eine Ordnungswidrigkeit nach § 6 Abs. 1 begangen worden, so können</w:t>
      </w:r>
    </w:p>
    <w:p>
      <w:pPr>
        <w:ind w:left="420"/>
      </w:pPr>
      <w:r>
        <w:t xml:space="preserve">1. Hunde und sonstige Gegenstände, auf die sich die Straftat oder Ordnungswidrigkeit bezieht, und</w:t>
      </w:r>
    </w:p>
    <w:p>
      <w:pPr>
        <w:ind w:left="420"/>
      </w:pPr>
      <w:r>
        <w:t xml:space="preserve">2. Hunde und sonstige Gegenstände, die durch die Straftat oder Ordnungswidrigkeit hervorgebracht oder zu ihrer Begehung oder Vorbereitung gebraucht worden oder bestimmt gewesen sind,</w:t>
      </w:r>
    </w:p>
    <w:p>
      <w:r>
        <w:t xml:space="preserve">eingezogen werden. § 74a des Strafgesetzbuches und § 23 des Gesetzes über Ordnungswidrigkeiten sind anzuwenden.</w:t>
      </w:r>
    </w:p>
    <w:p>
      <w:r>
        <w:rPr>
          <w:color w:val="555555"/>
          <w:sz w:val="17"/>
        </w:rPr>
        <w:t xml:space="preserve">Zitiervorschlag: § 7 HundVerbrEinfG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https://recht.nulegal.eu/gesetze/HundVerbrEinfG/7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