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HundVerbrEinfG — Bußgeldvorschriften</w:t>
      </w:r>
    </w:p>
    <w:p>
      <w:r>
        <w:rPr>
          <w:color w:val="555555"/>
          <w:sz w:val="18"/>
        </w:rPr>
        <w:t xml:space="preserve">Hundeverbringungs- und -einfuhrbeschränkungsgesetz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einer Rechtsverordnung nach § 2 Abs. 2 Nr. 1 oder § 4 Abs. 2 zuwiderhandelt, soweit sie für einen bestimmten Tatbestand auf diese Bußgeldvorschrift verweist,</w:t>
      </w:r>
    </w:p>
    <w:p>
      <w:pPr>
        <w:ind w:left="420"/>
      </w:pPr>
      <w:r>
        <w:t xml:space="preserve">2. entgegen § 3 Abs. 1 eine Auskunft nicht, nicht richtig, nicht vollständig oder nicht rechtzeitig erteilt oder</w:t>
      </w:r>
    </w:p>
    <w:p>
      <w:pPr>
        <w:ind w:left="420"/>
      </w:pPr>
      <w:r>
        <w:t xml:space="preserve">3. einer Vorschrift des § 3 Abs. 3 über Duldungs- oder Mitwirkungspflichten zuwiderhandelt.</w:t>
      </w:r>
    </w:p>
    <w:p>
      <w:r>
        <w:t xml:space="preserve">(2) Die Ordnungswidrigkeit kann mit einer Geldbuße bis zu fünftausend Euro geahndet werden.</w:t>
      </w:r>
    </w:p>
    <w:p>
      <w:r>
        <w:rPr>
          <w:color w:val="555555"/>
          <w:sz w:val="17"/>
        </w:rPr>
        <w:t xml:space="preserve">Zitiervorschlag: § 6 HundVerbrEinfG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https://recht.nulegal.eu/gesetze/HundVerbrEinfG/6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