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HundVerbrEinfG — Strafvorschriften</w:t>
      </w:r>
    </w:p>
    <w:p>
      <w:r>
        <w:rPr>
          <w:color w:val="555555"/>
          <w:sz w:val="18"/>
        </w:rPr>
        <w:t xml:space="preserve">Hundeverbringungs- und -einfuhrbeschränkungsgesetz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Freiheitsstrafe bis zu zwei Jahren oder mit Geldstrafe wird bestraft, wer entgegen § 2 Abs. 1 einen Hund in das Inland verbringt oder einführt.</w:t>
      </w:r>
    </w:p>
    <w:p>
      <w:r>
        <w:t xml:space="preserve">(2) Der Versuch ist strafbar.</w:t>
      </w:r>
    </w:p>
    <w:p>
      <w:r>
        <w:t xml:space="preserve">(3) Handelt der Täter in den Fällen des Absatzes 1 fahrlässig, ist die Strafe Freiheitsstrafe bis zu einem Jahr oder Geldstrafe.</w:t>
      </w:r>
    </w:p>
    <w:p>
      <w:r>
        <w:rPr>
          <w:color w:val="555555"/>
          <w:sz w:val="17"/>
        </w:rPr>
        <w:t xml:space="preserve">Zitiervorschlag: § 5 HundVerbrEinfG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https://recht.nulegal.eu/gesetze/HundVerbrEinfG/5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