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HundVerbrEinfG — Einfuhr- und Verbringungsverbot</w:t>
      </w:r>
    </w:p>
    <w:p>
      <w:r>
        <w:rPr>
          <w:color w:val="555555"/>
          <w:sz w:val="18"/>
        </w:rPr>
        <w:t xml:space="preserve">Hundeverbringungs- und -einfuhrbeschränkungsgesetz</w:t>
      </w:r>
    </w:p>
    <w:p>
      <w:r>
        <w:rPr>
          <w:color w:val="555555"/>
          <w:sz w:val="18"/>
        </w:rPr>
        <w:t xml:space="preserve">Stand: 10.06.2019 (konsolidierte Textfassung, kein amtliches Inkrafttretensdatum)</w:t>
      </w:r>
    </w:p>
    <w:p>
      <w:r>
        <w:t xml:space="preserve">(1) Hunde der Rassen Pitbull-Terrier, American Staffordshire-Terrier, Staffordshire-Bullterrier, Bullterrier sowie deren Kreuzungen untereinander oder mit anderen Hunden dürfen nicht in das Inland eingeführt oder verbracht werden. Hunde weiterer Rassen sowie deren Kreuzungen untereinander oder mit anderen Hunden, für die nach den Vorschriften des Landes, in dem der Hund ständig gehalten werden soll, eine Gefährlichkeit vermutet wird, dürfen aus dem Ausland nicht in dieses Land eingeführt oder verbracht werden.</w:t>
      </w:r>
    </w:p>
    <w:p>
      <w:r>
        <w:t xml:space="preserve">(2) Die Bundesregierung wird ermächtigt, durch Rechtsverordnung mit Zustimmung des Bundesrates</w:t>
      </w:r>
    </w:p>
    <w:p>
      <w:pPr>
        <w:ind w:left="420"/>
      </w:pPr>
      <w:r>
        <w:t xml:space="preserve">1. vorzuschreiben,</w:t>
      </w:r>
    </w:p>
    <w:p>
      <w:pPr>
        <w:ind w:left="780"/>
      </w:pPr>
      <w:r>
        <w:t xml:space="preserve">a) dass bestimmte Hunde nur über bestimmte nach tierseuchenrechtlichen Vorschriften eingerichtete Grenzkontrollstellen in das Inland eingeführt werden dürfen oder bei diesen Grenzkontrollstellen vorzuführen sind,</w:t>
      </w:r>
    </w:p>
    <w:p>
      <w:pPr>
        <w:ind w:left="780"/>
      </w:pPr>
      <w:r>
        <w:t xml:space="preserve">b) dass das beabsichtigte Einführen bestimmter Hunde binnen einer zu bestimmenden Frist bei der zuständigen Grenzkontrollstelle anzumelden ist.</w:t>
      </w:r>
    </w:p>
    <w:p>
      <w:pPr>
        <w:ind w:left="420"/>
      </w:pPr>
      <w:r>
        <w:t xml:space="preserve">2. Vorschriften über</w:t>
      </w:r>
    </w:p>
    <w:p>
      <w:pPr>
        <w:ind w:left="780"/>
      </w:pPr>
      <w:r>
        <w:t xml:space="preserve">a) die Überwachung des Verbringens oder der Einfuhr,</w:t>
      </w:r>
    </w:p>
    <w:p>
      <w:pPr>
        <w:ind w:left="780"/>
      </w:pPr>
      <w:r>
        <w:t xml:space="preserve">b) die Maßnahmen, die zu ergreifen sind, wenn Hunde nicht den Anforderungen nach diesem Gesetz entsprechen, sowie</w:t>
      </w:r>
    </w:p>
    <w:p>
      <w:pPr>
        <w:ind w:left="780"/>
      </w:pPr>
      <w:r>
        <w:t xml:space="preserve">c) das Verfahren</w:t>
      </w:r>
    </w:p>
    <w:p>
      <w:pPr>
        <w:ind w:left="420"/>
      </w:pPr>
      <w:r>
        <w:t xml:space="preserve">zu erlassen.</w:t>
      </w:r>
    </w:p>
    <w:p>
      <w:pPr>
        <w:ind w:left="420"/>
      </w:pPr>
      <w:r>
        <w:t xml:space="preserve">3. Ausnahmen von Absatz 1 ganz oder teilweise zuzulassen oder zu gewähren sowie die Voraussetzungen und das Verfahren zu regeln.</w:t>
      </w:r>
    </w:p>
    <w:p>
      <w:r>
        <w:rPr>
          <w:color w:val="555555"/>
          <w:sz w:val="17"/>
        </w:rPr>
        <w:t xml:space="preserve">Zitiervorschlag: § 2 HundVerbrEinfG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https://recht.nulegal.eu/gesetze/HundVerbrEinfG/2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