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HundVerbrEinfG — Begriffsbestimmungen</w:t>
      </w:r>
    </w:p>
    <w:p>
      <w:r>
        <w:rPr>
          <w:color w:val="555555"/>
          <w:sz w:val="18"/>
        </w:rPr>
        <w:t xml:space="preserve">Hundeverbringungs- und -einfuhrbeschränkungsgesetz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Sinne dieses Gesetzes ist Verbringen in das Inland: jedes Verbringen aus einem anderen Mitgliedstaat der Europäischen Union in das Inland, Einfuhr: Verbringen aus einem Drittland in das Inland, Zucht: jede Vermehrung von Hunden, Handel: jede Abgabe von Hunden gegen Entgelt, Gefährlicher Hund: Hunde der Rassen Pitbull-Terrier, American Staffordshire-Terrier, Staffordshire-Bullterrier, Bullterrier und deren Kreuzungen sowie nach Landesrecht bestimmte Hunde.</w:t>
      </w:r>
    </w:p>
    <w:p>
      <w:r>
        <w:rPr>
          <w:color w:val="555555"/>
          <w:sz w:val="17"/>
        </w:rPr>
        <w:t xml:space="preserve">Zitiervorschlag: § 1 HundVerbrEinfG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https://recht.nulegal.eu/gesetze/HundVerbrEinfG/1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