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HufBeschlZuVO (Sachsen)</w:t>
      </w:r>
    </w:p>
    <w:p>
      <w:r>
        <w:rPr>
          <w:color w:val="555555"/>
          <w:sz w:val="18"/>
        </w:rPr>
        <w:t xml:space="preserve">Hufbeschlag-Zuständigkeitsverordnung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Es wird verordnet aufgrund von</w:t>
      </w:r>
    </w:p>
    <w:p>
      <w:r>
        <w:t xml:space="preserve">§ 8 Abs. 4 des Gesetzes über den Beschlag von Hufen und Klauen ( Hufbeschlaggesetz – HufBeschlG ) vom 19. April 2006 (BGBl. I S. 900), in Verbindung mit § 1 der Verordnung der Sächsischen Staatsregierung zur Ermächtigung des Staatsministeriums für Soziales zum Erlass einer Zuständigkeitsverordnung im Bereich des Hufbeschlagrechts vom 5. Januar 2009 (SächsGVBl. S. 38),</w:t>
      </w:r>
    </w:p>
    <w:p>
      <w:r>
        <w:t xml:space="preserve">§ 16 Abs. 1 Satz 2 Nr. 2 des Gesetzes über die Verwaltungsorganisation des Freistaates Sachsen (Sächsisches Verwaltungsorganisationsgesetz – SächsVwOrgG ) vom 25. November 2003 (SächsGVBl. S. 899), das zuletzt durch Artikel 1 des Gesetzes vom 29. Januar 2008 (SächsGVBl. S. 138, 140) geändert worden ist, in der jeweils geltenden Fassung, mit Zustimmung der Staatsregierung:</w:t>
      </w:r>
    </w:p>
    <w:p>
      <w:r>
        <w:rPr>
          <w:color w:val="555555"/>
          <w:sz w:val="17"/>
        </w:rPr>
        <w:t xml:space="preserve">Zitiervorschlag: Eingangsformel HufBeschlZuVO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https://recht.nulegal.eu/gesetze/HufBeschlZuVO/eingangsformel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