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HufBeschlV</w:t>
      </w:r>
    </w:p>
    <w:p>
      <w:r>
        <w:rPr>
          <w:color w:val="555555"/>
          <w:sz w:val="18"/>
        </w:rPr>
        <w:t xml:space="preserve">Hufbeschlagverordnung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8 Abs. 1 des Hufbeschlaggesetzes vom 19. April 2006 (BGBl. I S. 900) verordnet das Bundesministerium für Ernährung, Landwirtschaft und Verbraucherschutz im Einvernehmen mit dem Bundesministerium für Wirtschaft und Technologie und dem Bundesministerium für Bildung und Forschung:</w:t>
      </w:r>
    </w:p>
    <w:p>
      <w:r>
        <w:rPr>
          <w:color w:val="555555"/>
          <w:sz w:val="17"/>
        </w:rPr>
        <w:t xml:space="preserve">Zitiervorschlag: Eingangsformel HufBeschlV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https://recht.nulegal.eu/gesetze/HufBeschlV/eingangsformel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