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HufBeschlV — Staatlich anerkannte Hufbeschlagschule</w:t>
      </w:r>
    </w:p>
    <w:p>
      <w:r>
        <w:rPr>
          <w:color w:val="555555"/>
          <w:sz w:val="18"/>
        </w:rPr>
        <w:t xml:space="preserve">Hufbeschlagverordnung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Bildungseinrichtung ist durch die nach Landesrecht zuständige Behörde als Hufbeschlagschule anzuerkennen, wenn sie durch Vorlage der entsprechenden Unterlagen die Erfüllung der Voraussetzungen des § 6 Abs. 2 des Hufbeschlaggesetzes nachweist. Über die Anerkennung ist eine Urkunde nach dem Muster der Anlage 3 auszustellen.</w:t>
      </w:r>
    </w:p>
    <w:p>
      <w:r>
        <w:rPr>
          <w:color w:val="555555"/>
          <w:sz w:val="17"/>
        </w:rPr>
        <w:t xml:space="preserve">Zitiervorschlag: § 3 HufBeschlV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https://recht.nulegal.eu/gesetze/HufBeschlV/3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