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HufBeschlV — Staatlich anerkannter Hufbeschlaglehrschmied/Staatlich anerkannte Hufbeschlaglehrschmiedin</w:t>
      </w:r>
    </w:p>
    <w:p>
      <w:r>
        <w:rPr>
          <w:color w:val="555555"/>
          <w:sz w:val="18"/>
        </w:rPr>
        <w:t xml:space="preserve">Hufbeschlagverordnung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Hufbeschlaglehrschmied/Hufbeschlaglehrschmiedin ist durch die nach Landesrecht zuständige Behörde anzuerkennen, wer durch Vorlage der entsprechenden Unterlagen die Erfüllung der Voraussetzungen nach § 5 Abs. 1 des Hufbeschlaggesetzes nachweist. Der Nachweis des nach § 5 Abs. 1 Nr. 3 des Hufbeschlaggesetzes erforderlichen Besuchs von Fortbildungsveranstaltungen ist durch Teilnahmebestätigungen der Veranstalter zu erbringen. Die Veranstaltungen müssen einen eindeutigen Tätigkeitsbezug zum Huf- und Klauenbeschlag haben. Die nach § 5 Abs. 1 Nr. 4 des Hufbeschlaggesetzes erforderlichen berufs- und arbeitspädagogischen Kenntnisse können auch durch die Vorlage einer Bescheinigung über die erfolgreiche Teilnahme an einer Prüfung nach § 3 der Ausbildereignungsverordnung oder der erfolgreichen Absolvierung eines dem § 2 der Ausbildereignungsverordnung entsprechenden Teils einer Meisterprüfung nachgewiesen werden. Über die Anerkennung ist eine Urkunde nach dem Muster der Anlage 2 auszustellen.</w:t>
      </w:r>
    </w:p>
    <w:p>
      <w:r>
        <w:t xml:space="preserve">(2) Personen, die nach § 17 Abs. 2 zur Prüfung zugelassen worden sind, sind für die staatliche Anerkennung von dem Einhalten der Voraussetzung des § 5 Abs. 1 Nr. 2 des Hufbeschlaggesetzes befreit.</w:t>
      </w:r>
    </w:p>
    <w:p>
      <w:r>
        <w:rPr>
          <w:color w:val="555555"/>
          <w:sz w:val="17"/>
        </w:rPr>
        <w:t xml:space="preserve">Zitiervorschlag: § 2 HufBeschlV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https://recht.nulegal.eu/gesetze/HufBeschlV/2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