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HufBeschl-AnerkennV</w:t>
      </w:r>
    </w:p>
    <w:p>
      <w:r>
        <w:rPr>
          <w:color w:val="555555"/>
          <w:sz w:val="18"/>
        </w:rPr>
        <w:t xml:space="preserve">Hufbeschlag-Anerkennungsverordnung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Bundesministerium für Ernährung, Landwirtschaft und Verbraucherschutz verordnet</w:t>
      </w:r>
    </w:p>
    <w:p>
      <w:pPr>
        <w:ind w:left="420"/>
      </w:pPr>
      <w:r>
        <w:t xml:space="preserve">– auf Grund des § 8 Absatz 1 des Hufbeschlaggesetzes vom 19. April 2006 (BGBl. I S. 900) im Einvernehmen mit dem Bundesministerium für Wirtschaft und Technologie und dem Bundesministerium für Bildung und Forschung und</w:t>
      </w:r>
    </w:p>
    <w:p>
      <w:pPr>
        <w:ind w:left="420"/>
      </w:pPr>
      <w:r>
        <w:t xml:space="preserve">– auf Grund des § 8 Absatz 2 des Hufbeschlaggesetzes vom 19. April 2006 (BGBl. I S. 900) im Einvernehmen mit dem Bundesministerium für Wirtschaft und Technologie:</w:t>
      </w:r>
    </w:p>
    <w:p>
      <w:r>
        <w:rPr>
          <w:color w:val="555555"/>
          <w:sz w:val="17"/>
        </w:rPr>
        <w:t xml:space="preserve">Zitiervorschlag: Eingangsformel HufBeschl-AnerkennV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https://recht.nulegal.eu/gesetze/HufBeschl-AnerkennV/eingangsformel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