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HufBeschl-AnerkennV — Inkrafttreten</w:t>
      </w:r>
    </w:p>
    <w:p>
      <w:r>
        <w:rPr>
          <w:color w:val="555555"/>
          <w:sz w:val="18"/>
        </w:rPr>
        <w:t xml:space="preserve">Hufbeschlag-Anerkennungsverordnung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Tag nach der Verkündung in Kraft.</w:t>
      </w:r>
    </w:p>
    <w:p>
      <w:r>
        <w:rPr>
          <w:color w:val="555555"/>
          <w:sz w:val="17"/>
        </w:rPr>
        <w:t xml:space="preserve">Zitiervorschlag: § 7 HufBeschl-AnerkennV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https://recht.nulegal.eu/gesetze/HufBeschl-AnerkennV/7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