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HufBeschl-AnerkennV — Übergangsvorschriften</w:t>
      </w:r>
    </w:p>
    <w:p>
      <w:r>
        <w:rPr>
          <w:color w:val="555555"/>
          <w:sz w:val="18"/>
        </w:rPr>
        <w:t xml:space="preserve">Hufbeschlag-Anerkennungsverordnung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Deutschen Staatsangehörigen, die vor dem 18. März 2009 eine Prüfung im Sinne des § 2 Absatz 2 abgelegt haben, ist durch die nach Landesrecht zuständige Behörde das entsprechende Prüfungszeugnis als gleichwertig mit Zeugnissen über die Prüfung zum Hufbeschlagschmied/zur Hufbeschlagschmiedin nach der Hufbeschlagverordnung anzuerkennen, wenn sie bis zum Ablauf des 17. März 2010 eine Gleichstellung beantragen. Im Übrigen gilt § 2 Absatz 1.</w:t>
      </w:r>
    </w:p>
    <w:p>
      <w:r>
        <w:rPr>
          <w:color w:val="555555"/>
          <w:sz w:val="17"/>
        </w:rPr>
        <w:t xml:space="preserve">Zitiervorschlag: § 6 HufBeschl-AnerkennV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https://recht.nulegal.eu/gesetze/HufBeschl-AnerkennV/6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HufBeschl-AnerkennV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