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HufBeschl-AnerkennV — Fristen</w:t>
      </w:r>
    </w:p>
    <w:p>
      <w:r>
        <w:rPr>
          <w:color w:val="555555"/>
          <w:sz w:val="18"/>
        </w:rPr>
        <w:t xml:space="preserve">Hufbeschlag-Anerkennungsverordnung</w:t>
      </w:r>
    </w:p>
    <w:p>
      <w:r>
        <w:rPr>
          <w:color w:val="555555"/>
          <w:sz w:val="18"/>
        </w:rPr>
        <w:t xml:space="preserve">Stand: 10.06.2019 (konsolidierte Textfassung, kein amtliches Inkrafttretensdatum)</w:t>
      </w:r>
    </w:p>
    <w:p>
      <w:r>
        <w:t xml:space="preserve">(1) Die zuständige Behörde bestätigt der Antrag stellenden Person binnen eines Monats den Empfang der Unterlagen und teilt dabei mit, ob Unterlagen für die Entscheidung nach den §§ 2 bis 4 fehlen. Spätestens drei Monate nach Einreichung der vollständigen Unterlagen muss eine Entscheidung über die Gleichstellung nach § 2 und die staatliche Anerkennung nach den §§ 3 und 4 ergangen sein. Diese Frist kann in begründeten, besonders schwierig zu beurteilenden Fällen um einen Monat verlängert werden. Bestehen Zweifel an der Echtheit der vorgelegten Bescheinigungen und Ausbildungsnachweise oder an den dadurch verliehenen Rechten, kann die zuständige Behörde oder Stelle des Herkunftslandes die Echtheit oder die dadurch verliehenen Rechte überprüfen; der Fristablauf ist so lange gehemmt.</w:t>
      </w:r>
    </w:p>
    <w:p>
      <w:r>
        <w:t xml:space="preserve">(2) Für die Verwaltungszusammenarbeit ist Artikel 8 in Verbindung mit Artikel 56 der Richtlinie 2005/36/EG des Europäischen Parlaments und des Rates vom 7. September 2005 über die Anerkennung von Berufsqualifikationen (ABl. L 255 vom 30.9.2005, S. 22, L 271 vom 16.10.2007, S. 18), die zuletzt durch die Verordnung (EG) Nr. 1430/2007 (ABl. L 320 vom 6.12.2007, S. 3) geändert worden ist, anzuwenden.</w:t>
      </w:r>
    </w:p>
    <w:p>
      <w:r>
        <w:rPr>
          <w:color w:val="555555"/>
          <w:sz w:val="17"/>
        </w:rPr>
        <w:t xml:space="preserve">Zitiervorschlag: § 5 HufBeschl-AnerkennV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https://recht.nulegal.eu/gesetze/HufBeschl-AnerkennV/5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