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HufBeschl-AnerkennV — Zweck der Verordnung</w:t>
      </w:r>
    </w:p>
    <w:p>
      <w:r>
        <w:rPr>
          <w:color w:val="555555"/>
          <w:sz w:val="18"/>
        </w:rPr>
        <w:t xml:space="preserve">Hufbeschlag-Anerkennungsverordnung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Gleichstellung von außerhalb des Anwendungsbereichs des Hufbeschlaggesetzes oder im Ausland erworbenen Prüfungszeugnissen im Bereich des Huf- und Klauenbeschlags mit den entsprechenden Zeugnissen über das Bestehen der Prüfungen nach den Abschnitten 2 und 3 der Hufbeschlagverordnung vom 15. Dezember 2006 (BGBl. I S. 3205).</w:t>
      </w:r>
    </w:p>
    <w:p>
      <w:r>
        <w:t xml:space="preserve">(2) Des Weiteren regelt die Verordnung das Verfahren der staatlichen Anerkennung für Personen mit gleichgestellten Prüfungszeugnissen durch die nach Landesrecht zuständigen Behörden nach den §§ 4 und 5 des Hufbeschlaggesetzes vom 19. April 2006 (BGBl. I S. 900).</w:t>
      </w:r>
    </w:p>
    <w:p>
      <w:r>
        <w:rPr>
          <w:color w:val="555555"/>
          <w:sz w:val="17"/>
        </w:rPr>
        <w:t xml:space="preserve">Zitiervorschlag: § 1 HufBeschl-AnerkennV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https://recht.nulegal.eu/gesetze/HufBeschl-AnerkennV/1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HufBeschl-AnerkennV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