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HufBZV (Brandenburg)</w:t>
      </w:r>
    </w:p>
    <w:p>
      <w:r>
        <w:rPr>
          <w:color w:val="555555"/>
          <w:sz w:val="18"/>
        </w:rPr>
        <w:t xml:space="preserve">Hufbeschlagzuständigkeitsverordnung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</w:t>
      </w:r>
    </w:p>
    <w:p>
      <w:r>
        <w:t xml:space="preserve">in Kraft. Gleichzeitig tritt die Verordnung über die Zuständigkeiten nach der</w:t>
      </w:r>
    </w:p>
    <w:p>
      <w:r>
        <w:t xml:space="preserve">Hufbeschlagverordnung vom 24. Oktober 2003 (GVBl. II S. 646) außer Kraft.</w:t>
      </w:r>
    </w:p>
    <w:p>
      <w:r>
        <w:t xml:space="preserve">Potsdam, den 1. Juli 2007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2 HufBZV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https://recht.nulegal.eu/gesetze/HufBZV/2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