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HufBZV (Brandenburg)</w:t>
      </w:r>
    </w:p>
    <w:p>
      <w:r>
        <w:rPr>
          <w:color w:val="555555"/>
          <w:sz w:val="18"/>
        </w:rPr>
        <w:t xml:space="preserve">Hufbeschlagzuständigkeitsverordnung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nach dem Hufbeschlaggesetz und</w:t>
      </w:r>
    </w:p>
    <w:p>
      <w:r>
        <w:t xml:space="preserve">der auf Grund dieses Gesetzes erlassenen Rechtsverordnungen ist das für das</w:t>
      </w:r>
    </w:p>
    <w:p>
      <w:r>
        <w:t xml:space="preserve">Veterinärwesen zuständige Ministerium.</w:t>
      </w:r>
    </w:p>
    <w:p>
      <w:r>
        <w:rPr>
          <w:color w:val="555555"/>
          <w:sz w:val="17"/>
        </w:rPr>
        <w:t xml:space="preserve">Zitiervorschlag: § 1 HufBZV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