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HtDBWVAPrV</w:t>
      </w:r>
    </w:p>
    <w:p>
      <w:r>
        <w:rPr>
          <w:color w:val="555555"/>
          <w:sz w:val="18"/>
        </w:rPr>
        <w:t xml:space="preserve">Verordnung über den Vorbereitungsdienst für den höheren technischen Verwaltungsdienst in der Bundeswehrverwaltung im Verwendungsbereich Wehrtechnik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26 Absatz 1 Nummer 2 und Absatz 2 des Bundesbeamtengesetzes vom 5. Februar 2009 (BGBl. I S. 160) in Verbindung mit § 10 Absatz 1 der Bundeslaufbahnverordnung vom 12. Februar 2009 (BGBl. I S. 284) verordnet das Bundesministerium der Verteidigung:</w:t>
      </w:r>
    </w:p>
    <w:p>
      <w:r>
        <w:rPr>
          <w:color w:val="555555"/>
          <w:sz w:val="17"/>
        </w:rPr>
        <w:t xml:space="preserve">Zitiervorschlag: Eingangsformel HtDBWVAPrV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https://recht.nulegal.eu/gesetze/HtDBWVAPrV/eingangsformel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