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HtDBWVAPrV — Anforderungen im Auswahlverfahren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Die Eignung und Befähigung wird im Auswahlverfahren anhand von Eignungsmerkmale festgestellt.</w:t>
      </w:r>
    </w:p>
    <w:p>
      <w:r>
        <w:t xml:space="preserve">(2) Die Eignungsmerkmale decken die folgenden Kompetenzbereiche ab:</w:t>
      </w:r>
    </w:p>
    <w:p>
      <w:pPr>
        <w:ind w:left="420"/>
      </w:pPr>
      <w:r>
        <w:t xml:space="preserve">1. Selbstkompetenz,</w:t>
      </w:r>
    </w:p>
    <w:p>
      <w:pPr>
        <w:ind w:left="420"/>
      </w:pPr>
      <w:r>
        <w:t xml:space="preserve">2. Methodenkompetenz,</w:t>
      </w:r>
    </w:p>
    <w:p>
      <w:pPr>
        <w:ind w:left="420"/>
      </w:pPr>
      <w:r>
        <w:t xml:space="preserve">3. Fachkompetenz,</w:t>
      </w:r>
    </w:p>
    <w:p>
      <w:pPr>
        <w:ind w:left="420"/>
      </w:pPr>
      <w:r>
        <w:t xml:space="preserve">4. Sozialkompetenz sowie</w:t>
      </w:r>
    </w:p>
    <w:p>
      <w:pPr>
        <w:ind w:left="420"/>
      </w:pPr>
      <w:r>
        <w:t xml:space="preserve">5. Führungs- und Managementkompetenz.</w:t>
      </w:r>
    </w:p>
    <w:p>
      <w:r>
        <w:t xml:space="preserve">(3) Die Feststellung erfolgt mit Hilfe von Auswahlinstrumenten. Der Einsatz kann durch Informationstechnologie unterstützt werden.</w:t>
      </w:r>
    </w:p>
    <w:p>
      <w:r>
        <w:rPr>
          <w:color w:val="555555"/>
          <w:sz w:val="17"/>
        </w:rPr>
        <w:t xml:space="preserve">Zitiervorschlag: § 7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