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HtDBWVAPrV — Prüfungsort, Prüfungstermin</w:t>
      </w:r>
    </w:p>
    <w:p>
      <w:r>
        <w:rPr>
          <w:color w:val="555555"/>
          <w:sz w:val="18"/>
        </w:rPr>
        <w:t xml:space="preserve">Verordnung über den Vorbereitungsdienst für den höheren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Termine für die Aushändigung und Präsentation der Praxisarbeit werden von der Ausbildungsleitung nach Maßgabe des § 24 festgesetzt.</w:t>
      </w:r>
    </w:p>
    <w:p>
      <w:r>
        <w:t xml:space="preserve">(2) Das Oberprüfungsamt setzt Ort und Zeit der schriftlichen Aufsichtsarbeiten und der mündlichen Prüfung fest. Die Ausbildungsleitung sorgt dafür, dass die Referendarinnen und Referendare hierüber rechtzeitig informiert werden.</w:t>
      </w:r>
    </w:p>
    <w:p>
      <w:r>
        <w:rPr>
          <w:color w:val="555555"/>
          <w:sz w:val="17"/>
        </w:rPr>
        <w:t xml:space="preserve">Zitiervorschlag: § 22 HtDBWVAPrV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https://recht.nulegal.eu/gesetze/HtDBWVAPrV/22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