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HtDBWVAPrV — Lehrgang „Aufgaben und Organisation der Bundeswehr und Statusfragen“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11.07.2024 (konsolidierte Textfassung, kein amtliches Inkrafttretensdatum)</w:t>
      </w:r>
    </w:p>
    <w:p>
      <w:r>
        <w:t xml:space="preserve">Im Lehrgang „Aufgaben und Organisation der Bundeswehr und Statusfragen“ werden die Referendarinnen und Referendare mit den Rechten und Pflichten der Beamtinnen und Beamten vertraut gemacht. Ihnen wird ein Überblick vermittelt über</w:t>
      </w:r>
    </w:p>
    <w:p>
      <w:pPr>
        <w:ind w:left="420"/>
      </w:pPr>
      <w:r>
        <w:t xml:space="preserve">1. das Besoldungsrecht,</w:t>
      </w:r>
    </w:p>
    <w:p>
      <w:pPr>
        <w:ind w:left="420"/>
      </w:pPr>
      <w:r>
        <w:t xml:space="preserve">2. das Reisekostenrecht,</w:t>
      </w:r>
    </w:p>
    <w:p>
      <w:pPr>
        <w:ind w:left="420"/>
      </w:pPr>
      <w:r>
        <w:t xml:space="preserve">3. das Umzugskostenrecht,</w:t>
      </w:r>
    </w:p>
    <w:p>
      <w:pPr>
        <w:ind w:left="420"/>
      </w:pPr>
      <w:r>
        <w:t xml:space="preserve">4. das Beihilferecht und</w:t>
      </w:r>
    </w:p>
    <w:p>
      <w:pPr>
        <w:ind w:left="420"/>
      </w:pPr>
      <w:r>
        <w:t xml:space="preserve">5. die Vorschriften zur Korruptionsprävention.</w:t>
      </w:r>
    </w:p>
    <w:p>
      <w:r>
        <w:t xml:space="preserve">Zudem wird ihnen ihr Arbeitsumfeld in der Bundeswehr mit den zugehörigen Organisationsbereichen und Arbeitsabläufen vorgestellt. Einzelheiten regelt der Lehrplan.</w:t>
      </w:r>
    </w:p>
    <w:p>
      <w:r>
        <w:rPr>
          <w:color w:val="555555"/>
          <w:sz w:val="17"/>
        </w:rPr>
        <w:t xml:space="preserve">Zitiervorschlag: § 10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