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HotelMeistPrV</w:t>
      </w:r>
    </w:p>
    <w:p>
      <w:r>
        <w:rPr>
          <w:color w:val="555555"/>
          <w:sz w:val="18"/>
        </w:rPr>
        <w:t xml:space="preserve">Verordnung über die Prüfung zum anerkannten Abschluss Geprüfter Hotelmeister/Geprüfte Hotelmeisterin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46 Abs. 2 des Berufsbildungsgesetzes vom 14. August 1969 (BGBl. I S. 1112), der zuletzt durch Artikel 212 Nr. 4 der Verordnung vom 29. Oktober 2001 (BGBl. I S. 2785) geändert worden ist, in Verbindung mit § 1 des Zuständigkeitsanpassungsgesetzes vom 16. August 2002 (BGBl. I S. 3165) und dem Organisationserlass vom 22. Oktober 2002 (BGBl. I S. 4206) verordnet das Bundesministerium für Bildung und Forschung nach Anhören des Ständigen Ausschusses des Bundesinstituts für Berufsbildung im Einvernehmen mit dem Bundesministerium für Wirtschaft und Arbeit:</w:t>
      </w:r>
    </w:p>
    <w:p>
      <w:r>
        <w:rPr>
          <w:color w:val="555555"/>
          <w:sz w:val="17"/>
        </w:rPr>
        <w:t xml:space="preserve">Zitiervorschlag: Eingangsformel HotelMeistPrV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https://recht.nulegal.eu/gesetze/HotelMeistPrV/eingangsformel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